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el"/>
      </w:pPr>
      <w:r>
        <w:t xml:space="preserve">EvidenzWerk — Fachliches &amp; Technisches Gesamthandbuch (Kompendium 2026)</w:t>
      </w:r>
    </w:p>
    <w:p>
      <w:pPr>
        <w:pStyle w:val="Untertitel"/>
      </w:pPr>
      <w:r>
        <w:t xml:space="preserve">Living Meta-Analysis Studio · Methoden-Kompendium, Studi-Modus (Voice-Lotse &amp; Paywall-Navigator), Statistik-Rechenkern &amp; Systemarchitektur</w:t>
      </w:r>
    </w:p>
    <w:p>
      <w:pPr>
        <w:pStyle w:val="Zitat"/>
      </w:pPr>
      <w:r>
        <w:rPr>
          <w:b/>
        </w:rPr>
        <w:t xml:space="preserve">Hinweis (IMPORTANT):</w:t>
      </w:r>
      <w:r>
        <w:t xml:space="preserve"> </w:t>
      </w:r>
      <w:r>
        <w:rPr>
          <w:b/>
        </w:rPr>
        <w:t xml:space="preserve">Zweck dieses Handbuchs:</w:t>
      </w:r>
      <w:r>
        <w:t xml:space="preserve"> Dieses Kompendium vereint zwei Dokumente in einem durchgängigen Nachschlagewerk: 1. </w:t>
      </w:r>
      <w:r>
        <w:rPr>
          <w:b/>
        </w:rPr>
        <w:t xml:space="preserve">Teil I — Fachliche Dokumentation &amp; Methoden-Kompendium (mit Screenshots &amp; Video):</w:t>
      </w:r>
      <w:r>
        <w:t xml:space="preserve"> Erklärt sämtliche in </w:t>
      </w:r>
      <w:r>
        <w:rPr>
          <w:b/>
        </w:rPr>
        <w:t xml:space="preserve">EvidenzWerk</w:t>
      </w:r>
      <w:r>
        <w:t xml:space="preserve"> abgebildeten Verfahren der Evidenzsynthese — von klassischen Gruppenvergleichen über klinische Überlebenszeitanalysen (</w:t>
      </w:r>
      <w:r>
        <w:rPr>
          <w:b/>
        </w:rPr>
        <w:t xml:space="preserve">Hazard Ratios nach Tierney et al. 2007</w:t>
      </w:r>
      <w:r>
        <w:t xml:space="preserve">), </w:t>
      </w:r>
      <w:r>
        <w:rPr>
          <w:b/>
        </w:rPr>
        <w:t xml:space="preserve">Drei-Ebenen-Meta-Analysen mit robuster Varianzschätzung (</w:t>
      </w:r>
      <w:r>
        <w:rPr>
          <w:rFonts w:ascii="Courier New" w:hAnsi="Courier New" w:cs="Courier New"/>
        </w:rPr>
        <w:t xml:space="preserve">clubSandwich</w:t>
      </w:r>
      <w:r>
        <w:rPr>
          <w:b/>
        </w:rPr>
        <w:t xml:space="preserve"> CR2)</w:t>
      </w:r>
      <w:r>
        <w:t xml:space="preserve">, </w:t>
      </w:r>
      <w:r>
        <w:rPr>
          <w:b/>
        </w:rPr>
        <w:t xml:space="preserve">Netzwerk-Meta-Analysen (NMA)</w:t>
      </w:r>
      <w:r>
        <w:t xml:space="preserve"> und </w:t>
      </w:r>
      <w:r>
        <w:rPr>
          <w:b/>
        </w:rPr>
        <w:t xml:space="preserve">Diagnostische Testgüte-Studien (DTA / Reitsma-HSROC &amp; QUADAS-2)</w:t>
      </w:r>
      <w:r>
        <w:t xml:space="preserve"> bis hin zu </w:t>
      </w:r>
      <w:r>
        <w:rPr>
          <w:b/>
        </w:rPr>
        <w:t xml:space="preserve">RoB 2</w:t>
      </w:r>
      <w:r>
        <w:t xml:space="preserve">, </w:t>
      </w:r>
      <w:r>
        <w:rPr>
          <w:b/>
        </w:rPr>
        <w:t xml:space="preserve">ROBINS-I</w:t>
      </w:r>
      <w:r>
        <w:t xml:space="preserve">, </w:t>
      </w:r>
      <w:r>
        <w:rPr>
          <w:b/>
        </w:rPr>
        <w:t xml:space="preserve">GRADE</w:t>
      </w:r>
      <w:r>
        <w:t xml:space="preserve"> und </w:t>
      </w:r>
      <w:r>
        <w:rPr>
          <w:b/>
        </w:rPr>
        <w:t xml:space="preserve">RAISE-2025</w:t>
      </w:r>
      <w:r>
        <w:t xml:space="preserve">. Jedes Verfahren ist so beschrieben, dass Sie auch außerhalb Ihres angestammten Fachgebiets sofort wissen, </w:t>
      </w:r>
      <w:r>
        <w:rPr>
          <w:i/>
        </w:rPr>
        <w:t xml:space="preserve">wann</w:t>
      </w:r>
      <w:r>
        <w:t xml:space="preserve"> man es einsetzt, </w:t>
      </w:r>
      <w:r>
        <w:rPr>
          <w:i/>
        </w:rPr>
        <w:t xml:space="preserve">welche Rohzahlen</w:t>
      </w:r>
      <w:r>
        <w:t xml:space="preserve"> man eingibt und </w:t>
      </w:r>
      <w:r>
        <w:rPr>
          <w:i/>
        </w:rPr>
        <w:t xml:space="preserve">wie man die Ergebnisse und Grafiken fachgerecht interpretiert</w:t>
      </w:r>
      <w:r>
        <w:t xml:space="preserve">. 2. </w:t>
      </w:r>
      <w:r>
        <w:rPr>
          <w:b/>
        </w:rPr>
        <w:t xml:space="preserve">Teil II — Technische System-, Rechenkern- &amp; API-Dokumentation:</w:t>
      </w:r>
      <w:r>
        <w:t xml:space="preserve"> Dokumentiert die gesamte Software-Architektur (</w:t>
      </w:r>
      <w:r>
        <w:rPr>
          <w:rFonts w:ascii="Courier New" w:hAnsi="Courier New" w:cs="Courier New"/>
        </w:rPr>
        <w:t xml:space="preserve">Next.js</w:t>
      </w:r>
      <w:r>
        <w:t xml:space="preserve">, </w:t>
      </w:r>
      <w:r>
        <w:rPr>
          <w:rFonts w:ascii="Courier New" w:hAnsi="Courier New" w:cs="Courier New"/>
        </w:rPr>
        <w:t xml:space="preserve">SQLite</w:t>
      </w:r>
      <w:r>
        <w:t xml:space="preserve"> mit WAL, </w:t>
      </w:r>
      <w:r>
        <w:rPr>
          <w:rFonts w:ascii="Courier New" w:hAnsi="Courier New" w:cs="Courier New"/>
        </w:rPr>
        <w:t xml:space="preserve">R</w:t>
      </w:r>
      <w:r>
        <w:t xml:space="preserve">-Bridge zu </w:t>
      </w:r>
      <w:r>
        <w:rPr>
          <w:rFonts w:ascii="Courier New" w:hAnsi="Courier New" w:cs="Courier New"/>
        </w:rPr>
        <w:t xml:space="preserve">metafor</w:t>
      </w:r>
      <w:r>
        <w:t xml:space="preserve"> &amp; </w:t>
      </w:r>
      <w:r>
        <w:rPr>
          <w:rFonts w:ascii="Courier New" w:hAnsi="Courier New" w:cs="Courier New"/>
        </w:rPr>
        <w:t xml:space="preserve">clubSandwich</w:t>
      </w:r>
      <w:r>
        <w:t xml:space="preserve">, die gläserne Rechenspur, die 100-%-paritätische </w:t>
      </w:r>
      <w:r>
        <w:rPr>
          <w:rFonts w:ascii="Courier New" w:hAnsi="Courier New" w:cs="Courier New"/>
        </w:rPr>
        <w:t xml:space="preserve">v1</w:t>
      </w:r>
      <w:r>
        <w:t xml:space="preserve">-Agenten-API mit Idempotenz und Dry-Run, die serverseitige Mehrbenutzer-Verblindung, die nativen PDF/DOCX/SVG/Poster-Renderer ohne Fremdbibliotheken sowie das Podman-Quadlet-Deployment).</w:t>
      </w:r>
    </w:p>
    <w:p>
      <w:pPr>
        <w:pBdr>
          <w:bottom w:val="single" w:sz="6" w:space="1" w:color="B4B4B4"/>
        </w:pBdr>
      </w:pPr>
    </w:p>
    <w:p>
      <w:pPr>
        <w:pStyle w:val="Ueberschrift2"/>
      </w:pPr>
      <w:r>
        <w:t xml:space="preserve">0. Gesamtschau im Video &amp; Bildergalerie</w:t>
      </w:r>
    </w:p>
    <w:p>
      <w:pPr>
        <w:pStyle w:val="Ueberschrift3"/>
      </w:pPr>
      <w:r>
        <w:t xml:space="preserve">0.1 Vollständiger Durchlauf im Video (MP4)</w:t>
      </w:r>
    </w:p>
    <w:p>
      <w:r>
        <w:t xml:space="preserve">Das folgende Video durchläuft live die beiden im Showcase aufgebauten Referenzprojekte — vom Projekt-Dashboard über Protokoll &amp; Mehrbenutzer-Verblindung, PRISMA-S-Recherche, Doppelscreening mit Cohen's κ, KI-Extraktion mit Seitenanker, klinische Kaplan-Meier-Rekonstruktion (Tierney et al. 2007), RoB 2 &amp; ROBINS-I, Drei-Ebenen-REML+CR2, Publikationsbias-Suite, Netzwerk-Meta-Analyse (NMA), Diagnostische Testgüte (SROC &amp; QUADAS-2) und GRADE bis zur gläsernen Rechenspur, Ratifikation und dem druckfertigen Einreichungspaket:</w:t>
      </w:r>
    </w:p>
    <w:p>
      <w:r>
        <w:t xml:space="preserve">![EvidenzWerk Gesamtschau-Video (2026)](/Users/franzhuetter/.gemini/antigravity-cli/brain/ddf3e4eb-130f-4bd1-a05b-29ff57ae1d90/evidenzwerk-gesamtschau-2026.mp4)</w:t>
      </w:r>
    </w:p>
    <w:p>
      <w:r>
        <w:rPr>
          <w:i/>
        </w:rPr>
        <w:t xml:space="preserve">(Im Projekt-Repository liegt die Videodatei dauerhaft unter data/demo-videos/evidenzwerk-gesamtschau-2026.mp4, alle 16 Retina-Screenshots unter data/handbuch-screenshots/.)</w:t>
      </w:r>
    </w:p>
    <w:p>
      <w:pPr>
        <w:pBdr>
          <w:bottom w:val="single" w:sz="6" w:space="1" w:color="B4B4B4"/>
        </w:pBdr>
      </w:pPr>
    </w:p>
    <w:p>
      <w:pPr>
        <w:pStyle w:val="Ueberschrift2"/>
      </w:pPr>
      <w:r>
        <w:t xml:space="preserve">Teil I — Fachliche Gesamtdokumentation &amp; Methoden-Kompendium</w:t>
      </w:r>
    </w:p>
    <w:p>
      <w:pPr>
        <w:pStyle w:val="Ueberschrift3"/>
      </w:pPr>
      <w:r>
        <w:t xml:space="preserve">1. Der Gesamtprozess einer systematischen Übersichtsarbeit und Meta-Analyse</w:t>
      </w:r>
    </w:p>
    <w:p>
      <w:r>
        <w:t xml:space="preserve">EvidenzWerk bildet den gesamten Lebenszyklus einer systematischen Übersichtsarbeit (Systematic Review) und quantitativen Evidenzsynthese (Meta-Analyse) nach den Standards des </w:t>
      </w:r>
      <w:r>
        <w:rPr>
          <w:b/>
        </w:rPr>
        <w:t xml:space="preserve">Cochrane Handbooks (Version 6.5)</w:t>
      </w:r>
      <w:r>
        <w:t xml:space="preserve">, </w:t>
      </w:r>
      <w:r>
        <w:rPr>
          <w:b/>
        </w:rPr>
        <w:t xml:space="preserve">PRISMA 2020</w:t>
      </w:r>
      <w:r>
        <w:t xml:space="preserve">, </w:t>
      </w:r>
      <w:r>
        <w:rPr>
          <w:b/>
        </w:rPr>
        <w:t xml:space="preserve">PRISMA-S</w:t>
      </w:r>
      <w:r>
        <w:t xml:space="preserve">, </w:t>
      </w:r>
      <w:r>
        <w:rPr>
          <w:b/>
        </w:rPr>
        <w:t xml:space="preserve">PRISMA-P</w:t>
      </w:r>
      <w:r>
        <w:t xml:space="preserve">, </w:t>
      </w:r>
      <w:r>
        <w:rPr>
          <w:b/>
        </w:rPr>
        <w:t xml:space="preserve">GRADE</w:t>
      </w:r>
      <w:r>
        <w:t xml:space="preserve"> und </w:t>
      </w:r>
      <w:r>
        <w:rPr>
          <w:b/>
        </w:rPr>
        <w:t xml:space="preserve">RAISE 2025</w:t>
      </w:r>
      <w:r>
        <w:t xml:space="preserve"> ohne Medienbruch ab.</w:t>
      </w:r>
    </w:p>
    <w:p>
      <w:pPr>
        <w:pStyle w:val="Fest"/>
      </w:pPr>
      <w:r>
        <w:rPr>
          <w:rFonts w:ascii="Courier New" w:hAnsi="Courier New" w:cs="Courier New"/>
          <w:sz w:val="18"/>
          <w:szCs w:val="18"/>
        </w:rPr>
        <w:t xml:space="preserve">Prozesskette: 1. Protokoll &amp; PICOS (PRISMA-P, Team-Verblindung, Studi-Modus) -&gt; 2. Recherche &amp; Import (OpenAlex, PubMed, CT.gov, RIS/BibTeX) -&gt; 3. Doppelscreening (Reviewer A/B, Cohens Kappa) -&gt; 4. Volltext-Extraktion &amp; 3-Stufen-Paywall-Lotse -&gt; 5. Codierung &amp; Bias (10 Metriken, RoB 2, ROBINS-I, QUADAS-2) -&gt; 6. Statistische Synthese (3-Ebenen-CR2, NMA, DTA, PubBias) -&gt; 7. GRADE &amp; Ratifikation (RAISE-2025) -&gt; 8. Einreichungspaket &amp; Klartext-Dossier (DOCX, PDF, SVG, R-Skript, ZIP)</w:t>
      </w:r>
    </w:p>
    <w:p>
      <w:pPr>
        <w:pStyle w:val="Ueberschrift4"/>
      </w:pPr>
      <w:r>
        <w:t xml:space="preserve">1.1 Dashboard, Protokoll (PRISMA-P) und Mehrbenutzer-Verblindung</w:t>
      </w:r>
    </w:p>
    <w:p>
      <w:pPr>
        <w:jc w:val="center"/>
        <w:spacing w:before="120" w:after="60" w:line="240" w:lineRule="auto"/>
      </w:pPr>
      <w:r>
        <w:drawing>
          <wp:inline distT="0" distB="0" distL="0" distR="0">
            <wp:extent cx="5759450" cy="3671649"/>
            <wp:docPr id="1" name="Abbildung 1"/>
            <wp:cNvGraphicFramePr>
              <a:graphicFrameLocks noChangeAspect="1"/>
            </wp:cNvGraphicFramePr>
            <a:graphic>
              <a:graphicData uri="http://schemas.openxmlformats.org/drawingml/2006/picture">
                <pic:pic>
                  <pic:nvPicPr>
                    <pic:cNvPr id="1" name="image1.png"/>
                    <pic:cNvPicPr/>
                  </pic:nvPicPr>
                  <pic:blipFill>
                    <a:blip r:embed="rIdBild1"/>
                    <a:stretch>
                      <a:fillRect/>
                    </a:stretch>
                  </pic:blipFill>
                  <pic:spPr>
                    <a:xfrm>
                      <a:off x="0" y="0"/>
                      <a:ext cx="5759450" cy="3671649"/>
                    </a:xfrm>
                    <a:prstGeom prst="rect">
                      <a:avLst/>
                    </a:prstGeom>
                  </pic:spPr>
                </pic:pic>
              </a:graphicData>
            </a:graphic>
          </wp:inline>
        </w:drawing>
      </w:r>
    </w:p>
    <w:p>
      <w:r>
        <w:rPr>
          <w:b/>
          <w:sz w:val="18"/>
          <w:szCs w:val="18"/>
        </w:rPr>
        <w:t xml:space="preserve">Abbildung 1: </w:t>
      </w:r>
      <w:r>
        <w:rPr>
          <w:i/>
          <w:sz w:val="18"/>
          <w:szCs w:val="18"/>
        </w:rPr>
        <w:t xml:space="preserve">Dashboard (01-dashboard.png)</w:t>
      </w:r>
    </w:p>
    <w:p>
      <w:r>
        <w:t xml:space="preserve">Jedes Projekt beginnt im Reiter </w:t>
      </w:r>
      <w:r>
        <w:rPr>
          <w:b/>
        </w:rPr>
        <w:t xml:space="preserve">Protokoll</w:t>
      </w:r>
      <w:r>
        <w:t xml:space="preserve"> (</w:t>
      </w:r>
      <w:r>
        <w:rPr>
          <w:rFonts w:ascii="Courier New" w:hAnsi="Courier New" w:cs="Courier New"/>
        </w:rPr>
        <w:t xml:space="preserve">PicosEditor.tsx</w:t>
      </w:r>
      <w:r>
        <w:t xml:space="preserve">, </w:t>
      </w:r>
      <w:r>
        <w:rPr>
          <w:rFonts w:ascii="Courier New" w:hAnsi="Courier New" w:cs="Courier New"/>
        </w:rPr>
        <w:t xml:space="preserve">buildPrismaP</w:t>
      </w:r>
      <w:r>
        <w:t xml:space="preserve">) mit der strukturierten Festlegung der Forschungsfrage nach dem </w:t>
      </w:r>
      <w:r>
        <w:rPr>
          <w:b/>
        </w:rPr>
        <w:t xml:space="preserve">PICOS-Schema</w:t>
      </w:r>
      <w:r>
        <w:t xml:space="preserve">:</w:t>
      </w:r>
    </w:p>
    <w:p>
      <w:pPr>
        <w:numPr>
          <w:ilvl w:val="0"/>
          <w:numId w:val="1"/>
        </w:numPr>
      </w:pPr>
      <w:r>
        <w:rPr>
          <w:b/>
        </w:rPr>
        <w:t xml:space="preserve">P (Population):</w:t>
      </w:r>
      <w:r>
        <w:t xml:space="preserve"> Welche Teilnehmenden oder Patientengruppen werden untersucht? (z. B. </w:t>
      </w:r>
      <w:r>
        <w:rPr>
          <w:i/>
        </w:rPr>
        <w:t xml:space="preserve">Erwachsene Lernende ≥ 18 Jahre</w:t>
      </w:r>
      <w:r>
        <w:t xml:space="preserve"> oder </w:t>
      </w:r>
      <w:r>
        <w:rPr>
          <w:i/>
        </w:rPr>
        <w:t xml:space="preserve">Patient:innen mit metastasiertem NSCLC Stadium IV, ECOG 0–1</w:t>
      </w:r>
      <w:r>
        <w:t xml:space="preserve">)</w:t>
      </w:r>
    </w:p>
    <w:p>
      <w:pPr>
        <w:numPr>
          <w:ilvl w:val="0"/>
          <w:numId w:val="1"/>
        </w:numPr>
      </w:pPr>
      <w:r>
        <w:rPr>
          <w:b/>
        </w:rPr>
        <w:t xml:space="preserve">I (Intervention / Index-Test):</w:t>
      </w:r>
      <w:r>
        <w:t xml:space="preserve"> Welche Maßnahme, Therapie oder diagnostische Methode wird geprüft?</w:t>
      </w:r>
    </w:p>
    <w:p>
      <w:pPr>
        <w:numPr>
          <w:ilvl w:val="0"/>
          <w:numId w:val="1"/>
        </w:numPr>
      </w:pPr>
      <w:r>
        <w:rPr>
          <w:b/>
        </w:rPr>
        <w:t xml:space="preserve">C (Comparator / Kontrolle):</w:t>
      </w:r>
      <w:r>
        <w:t xml:space="preserve"> Wogegen wird verglichen (Standardtherapie, Placebo, aktive Kontrolle, Referenzstandard)?</w:t>
      </w:r>
    </w:p>
    <w:p>
      <w:pPr>
        <w:numPr>
          <w:ilvl w:val="0"/>
          <w:numId w:val="1"/>
        </w:numPr>
      </w:pPr>
      <w:r>
        <w:rPr>
          <w:b/>
        </w:rPr>
        <w:t xml:space="preserve">O (Outcomes / Endpunkte):</w:t>
      </w:r>
      <w:r>
        <w:t xml:space="preserve"> Welche primären und sekundären Zielgrößen sind maßgeblich?</w:t>
      </w:r>
    </w:p>
    <w:p>
      <w:pPr>
        <w:numPr>
          <w:ilvl w:val="0"/>
          <w:numId w:val="1"/>
        </w:numPr>
      </w:pPr>
      <w:r>
        <w:rPr>
          <w:b/>
        </w:rPr>
        <w:t xml:space="preserve">S (Study Design):</w:t>
      </w:r>
      <w:r>
        <w:t xml:space="preserve"> Welche Studiendesigns sind zugelassen (nur RCTs, auch quasi-experimentelle Studien oder adjustierte Registerkohorten)?</w:t>
      </w:r>
    </w:p>
    <w:p>
      <w:pPr>
        <w:jc w:val="center"/>
        <w:spacing w:before="120" w:after="60" w:line="240" w:lineRule="auto"/>
      </w:pPr>
      <w:r>
        <w:drawing>
          <wp:inline distT="0" distB="0" distL="0" distR="0">
            <wp:extent cx="5759450" cy="3671649"/>
            <wp:docPr id="2" name="Abbildung 2"/>
            <wp:cNvGraphicFramePr>
              <a:graphicFrameLocks noChangeAspect="1"/>
            </wp:cNvGraphicFramePr>
            <a:graphic>
              <a:graphicData uri="http://schemas.openxmlformats.org/drawingml/2006/picture">
                <pic:pic>
                  <pic:nvPicPr>
                    <pic:cNvPr id="2" name="image2.png"/>
                    <pic:cNvPicPr/>
                  </pic:nvPicPr>
                  <pic:blipFill>
                    <a:blip r:embed="rIdBild2"/>
                    <a:stretch>
                      <a:fillRect/>
                    </a:stretch>
                  </pic:blipFill>
                  <pic:spPr>
                    <a:xfrm>
                      <a:off x="0" y="0"/>
                      <a:ext cx="5759450" cy="3671649"/>
                    </a:xfrm>
                    <a:prstGeom prst="rect">
                      <a:avLst/>
                    </a:prstGeom>
                  </pic:spPr>
                </pic:pic>
              </a:graphicData>
            </a:graphic>
          </wp:inline>
        </w:drawing>
      </w:r>
    </w:p>
    <w:p>
      <w:r>
        <w:rPr>
          <w:b/>
          <w:sz w:val="18"/>
          <w:szCs w:val="18"/>
        </w:rPr>
        <w:t xml:space="preserve">Abbildung 2: </w:t>
      </w:r>
      <w:r>
        <w:rPr>
          <w:i/>
          <w:sz w:val="18"/>
          <w:szCs w:val="18"/>
        </w:rPr>
        <w:t xml:space="preserve">Protokoll &amp; Team-Verblindung (02-protokoll-team-verblindung.png)</w:t>
      </w:r>
    </w:p>
    <w:p>
      <w:pPr>
        <w:pStyle w:val="Zitat"/>
      </w:pPr>
      <w:r>
        <w:rPr>
          <w:b/>
        </w:rPr>
        <w:t xml:space="preserve">Hinweis (TIP):</w:t>
      </w:r>
      <w:r>
        <w:t xml:space="preserve"> </w:t>
      </w:r>
      <w:r>
        <w:rPr>
          <w:b/>
        </w:rPr>
        <w:t xml:space="preserve">Echte serverseitige Mehrbenutzer-Verblindung (</w:t>
      </w:r>
      <w:r>
        <w:rPr>
          <w:rFonts w:ascii="Courier New" w:hAnsi="Courier New" w:cs="Courier New"/>
        </w:rPr>
        <w:t xml:space="preserve">TeamPanel.tsx</w:t>
      </w:r>
      <w:r>
        <w:rPr>
          <w:b/>
        </w:rPr>
        <w:t xml:space="preserve">, </w:t>
      </w:r>
      <w:r>
        <w:rPr>
          <w:rFonts w:ascii="Courier New" w:hAnsi="Courier New" w:cs="Courier New"/>
        </w:rPr>
        <w:t xml:space="preserve">lib/tenancy.ts</w:t>
      </w:r>
      <w:r>
        <w:rPr>
          <w:b/>
        </w:rPr>
        <w:t xml:space="preserve">):</w:t>
      </w:r>
      <w:r>
        <w:t xml:space="preserve"> Nach Cochrane-Standard müssen zwei Personen (</w:t>
      </w:r>
      <w:r>
        <w:rPr>
          <w:b/>
        </w:rPr>
        <w:t xml:space="preserve">Reviewer A</w:t>
      </w:r>
      <w:r>
        <w:t xml:space="preserve"> und </w:t>
      </w:r>
      <w:r>
        <w:rPr>
          <w:b/>
        </w:rPr>
        <w:t xml:space="preserve">Reviewer B</w:t>
      </w:r>
      <w:r>
        <w:t xml:space="preserve">) Studien unabhängig voneinander sichten und kodieren, ohne die Entscheidung der jeweils anderen Person vorher zu sehen. In EvidenzWerk weisen Sie im Protokoll-Reiter realen Nutzerkonten die Rolle </w:t>
      </w:r>
      <w:r>
        <w:rPr>
          <w:b/>
        </w:rPr>
        <w:t xml:space="preserve">Reviewer / Coder A</w:t>
      </w:r>
      <w:r>
        <w:t xml:space="preserve">, </w:t>
      </w:r>
      <w:r>
        <w:rPr>
          <w:b/>
        </w:rPr>
        <w:t xml:space="preserve">Reviewer / Coder B</w:t>
      </w:r>
      <w:r>
        <w:t xml:space="preserve"> oder </w:t>
      </w:r>
      <w:r>
        <w:rPr>
          <w:b/>
        </w:rPr>
        <w:t xml:space="preserve">Co-Autor:in</w:t>
      </w:r>
      <w:r>
        <w:t xml:space="preserve"> zu. Solange sich eine Studie in der Warteschlange (</w:t>
      </w:r>
      <w:r>
        <w:rPr>
          <w:rFonts w:ascii="Courier New" w:hAnsi="Courier New" w:cs="Courier New"/>
        </w:rPr>
        <w:t xml:space="preserve">queued</w:t>
      </w:r>
      <w:r>
        <w:t xml:space="preserve">) befindet, filtert der Server fremde Stimmen bereits auf API- und Datenbankebene heraus; der Rollen-Umschalter im UI ist für gebundene Reviewer-Konten gesperrt.</w:t>
      </w:r>
    </w:p>
    <w:p>
      <w:pPr>
        <w:pBdr>
          <w:bottom w:val="single" w:sz="6" w:space="1" w:color="B4B4B4"/>
        </w:pBdr>
      </w:pPr>
    </w:p>
    <w:p>
      <w:pPr>
        <w:pStyle w:val="Ueberschrift3"/>
      </w:pPr>
      <w:r>
        <w:t xml:space="preserve">2. Literaturrecherche (PRISMA-S), Dublettenbereinigung &amp; Doppelscreening</w:t>
      </w:r>
    </w:p>
    <w:p>
      <w:pPr>
        <w:pStyle w:val="Ueberschrift4"/>
      </w:pPr>
      <w:r>
        <w:t xml:space="preserve">2.1 Viergliedrige Recherche und PRISMA-S-Protokollierung</w:t>
      </w:r>
    </w:p>
    <w:p>
      <w:pPr>
        <w:jc w:val="center"/>
        <w:spacing w:before="120" w:after="60" w:line="240" w:lineRule="auto"/>
      </w:pPr>
      <w:r>
        <w:drawing>
          <wp:inline distT="0" distB="0" distL="0" distR="0">
            <wp:extent cx="5759450" cy="3671649"/>
            <wp:docPr id="3" name="Abbildung 3"/>
            <wp:cNvGraphicFramePr>
              <a:graphicFrameLocks noChangeAspect="1"/>
            </wp:cNvGraphicFramePr>
            <a:graphic>
              <a:graphicData uri="http://schemas.openxmlformats.org/drawingml/2006/picture">
                <pic:pic>
                  <pic:nvPicPr>
                    <pic:cNvPr id="3" name="image3.png"/>
                    <pic:cNvPicPr/>
                  </pic:nvPicPr>
                  <pic:blipFill>
                    <a:blip r:embed="rIdBild3"/>
                    <a:stretch>
                      <a:fillRect/>
                    </a:stretch>
                  </pic:blipFill>
                  <pic:spPr>
                    <a:xfrm>
                      <a:off x="0" y="0"/>
                      <a:ext cx="5759450" cy="3671649"/>
                    </a:xfrm>
                    <a:prstGeom prst="rect">
                      <a:avLst/>
                    </a:prstGeom>
                  </pic:spPr>
                </pic:pic>
              </a:graphicData>
            </a:graphic>
          </wp:inline>
        </w:drawing>
      </w:r>
    </w:p>
    <w:p>
      <w:r>
        <w:rPr>
          <w:b/>
          <w:sz w:val="18"/>
          <w:szCs w:val="18"/>
        </w:rPr>
        <w:t xml:space="preserve">Abbildung 3: </w:t>
      </w:r>
      <w:r>
        <w:rPr>
          <w:i/>
          <w:sz w:val="18"/>
          <w:szCs w:val="18"/>
        </w:rPr>
        <w:t xml:space="preserve">Recherche &amp; PRISMA-S (03-recherche-prisma-s.png)</w:t>
      </w:r>
    </w:p>
    <w:p>
      <w:r>
        <w:t xml:space="preserve">Im Reiter </w:t>
      </w:r>
      <w:r>
        <w:rPr>
          <w:b/>
        </w:rPr>
        <w:t xml:space="preserve">Recherche</w:t>
      </w:r>
      <w:r>
        <w:t xml:space="preserve"> kombiniert EvidenzWerk vier komplementäre Zugänge, damit keine relevante Evidenz übersehen wird:</w:t>
      </w:r>
    </w:p>
    <w:p>
      <w:pPr>
        <w:numPr>
          <w:ilvl w:val="0"/>
          <w:numId w:val="2"/>
        </w:numPr>
      </w:pPr>
      <w:r>
        <w:rPr>
          <w:b/>
        </w:rPr>
        <w:t xml:space="preserve">KI-gestützte Mehrpfad-Suche über OpenAlex (</w:t>
      </w:r>
      <w:r>
        <w:rPr>
          <w:rFonts w:ascii="Courier New" w:hAnsi="Courier New" w:cs="Courier New"/>
        </w:rPr>
        <w:t xml:space="preserve">AiSearchPanel.tsx</w:t>
      </w:r>
      <w:r>
        <w:rPr>
          <w:b/>
        </w:rPr>
        <w:t xml:space="preserve">, </w:t>
      </w:r>
      <w:r>
        <w:rPr>
          <w:rFonts w:ascii="Courier New" w:hAnsi="Courier New" w:cs="Courier New"/>
        </w:rPr>
        <w:t xml:space="preserve">lib/scholarly.ts</w:t>
      </w:r>
      <w:r>
        <w:rPr>
          <w:b/>
        </w:rPr>
        <w:t xml:space="preserve">):</w:t>
      </w:r>
      <w:r>
        <w:t xml:space="preserve"> Zerlegt die Forschungsfrage in mehrere synonyme englischsprachige Suchpfade und speichert die exakten Abfrage-URLs, Zeitstempel und Trefferzahlen.</w:t>
      </w:r>
    </w:p>
    <w:p>
      <w:pPr>
        <w:numPr>
          <w:ilvl w:val="0"/>
          <w:numId w:val="2"/>
        </w:numPr>
      </w:pPr>
      <w:r>
        <w:rPr>
          <w:b/>
        </w:rPr>
        <w:t xml:space="preserve">PubMed / MEDLINE via NCBI E-Utilities (</w:t>
      </w:r>
      <w:r>
        <w:rPr>
          <w:rFonts w:ascii="Courier New" w:hAnsi="Courier New" w:cs="Courier New"/>
        </w:rPr>
        <w:t xml:space="preserve">PubmedPanel.tsx</w:t>
      </w:r>
      <w:r>
        <w:rPr>
          <w:b/>
        </w:rPr>
        <w:t xml:space="preserve">, </w:t>
      </w:r>
      <w:r>
        <w:rPr>
          <w:rFonts w:ascii="Courier New" w:hAnsi="Courier New" w:cs="Courier New"/>
        </w:rPr>
        <w:t xml:space="preserve">lib/pubmed.ts</w:t>
      </w:r>
      <w:r>
        <w:rPr>
          <w:b/>
        </w:rPr>
        <w:t xml:space="preserve">):</w:t>
      </w:r>
      <w:r>
        <w:t xml:space="preserve"> Unterstützt vollständige Boolesche Ketten inkl. </w:t>
      </w:r>
      <w:r>
        <w:rPr>
          <w:rFonts w:ascii="Courier New" w:hAnsi="Courier New" w:cs="Courier New"/>
        </w:rPr>
        <w:t xml:space="preserve">MeSH Terms</w:t>
      </w:r>
      <w:r>
        <w:t xml:space="preserve"> (</w:t>
      </w:r>
      <w:r>
        <w:rPr>
          <w:rFonts w:ascii="Courier New" w:hAnsi="Courier New" w:cs="Courier New"/>
        </w:rPr>
        <w:t xml:space="preserve">[mh]</w:t>
      </w:r>
      <w:r>
        <w:t xml:space="preserve">), </w:t>
      </w:r>
      <w:r>
        <w:rPr>
          <w:rFonts w:ascii="Courier New" w:hAnsi="Courier New" w:cs="Courier New"/>
        </w:rPr>
        <w:t xml:space="preserve">[tiab]</w:t>
      </w:r>
      <w:r>
        <w:t xml:space="preserve">-Feldern und Publikationstyp-Filtern.</w:t>
      </w:r>
    </w:p>
    <w:p>
      <w:pPr>
        <w:numPr>
          <w:ilvl w:val="0"/>
          <w:numId w:val="2"/>
        </w:numPr>
      </w:pPr>
      <w:r>
        <w:rPr>
          <w:b/>
        </w:rPr>
        <w:t xml:space="preserve">Studienregister ClinicalTrials.gov API v2 (</w:t>
      </w:r>
      <w:r>
        <w:rPr>
          <w:rFonts w:ascii="Courier New" w:hAnsi="Courier New" w:cs="Courier New"/>
        </w:rPr>
        <w:t xml:space="preserve">TrialsPanel.tsx</w:t>
      </w:r>
      <w:r>
        <w:rPr>
          <w:b/>
        </w:rPr>
        <w:t xml:space="preserve">, </w:t>
      </w:r>
      <w:r>
        <w:rPr>
          <w:rFonts w:ascii="Courier New" w:hAnsi="Courier New" w:cs="Courier New"/>
        </w:rPr>
        <w:t xml:space="preserve">lib/clinicaltrials.ts</w:t>
      </w:r>
      <w:r>
        <w:rPr>
          <w:b/>
        </w:rPr>
        <w:t xml:space="preserve">):</w:t>
      </w:r>
      <w:r>
        <w:t xml:space="preserve"> Essenziell gegen </w:t>
      </w:r>
      <w:r>
        <w:rPr>
          <w:b/>
        </w:rPr>
        <w:t xml:space="preserve">Publikationsbias (Schubladeneffekt)</w:t>
      </w:r>
      <w:r>
        <w:t xml:space="preserve">: Findet abgeschlossene Studien (</w:t>
      </w:r>
      <w:r>
        <w:rPr>
          <w:rFonts w:ascii="Courier New" w:hAnsi="Courier New" w:cs="Courier New"/>
        </w:rPr>
        <w:t xml:space="preserve">COMPLETED</w:t>
      </w:r>
      <w:r>
        <w:t xml:space="preserve">) mit oder ohne publizierten Fachaufsatz. Unveröffentlichte Registerstudien werden mit </w:t>
      </w:r>
      <w:r>
        <w:rPr>
          <w:rFonts w:ascii="Courier New" w:hAnsi="Courier New" w:cs="Courier New"/>
        </w:rPr>
        <w:t xml:space="preserve">registry_unpublished = 1</w:t>
      </w:r>
      <w:r>
        <w:t xml:space="preserve"> markiert und im Analyse-Reiter gesondert als Warnhinweis ausgewiesen.</w:t>
      </w:r>
    </w:p>
    <w:p>
      <w:pPr>
        <w:numPr>
          <w:ilvl w:val="0"/>
          <w:numId w:val="2"/>
        </w:numPr>
      </w:pPr>
      <w:r>
        <w:rPr>
          <w:b/>
        </w:rPr>
        <w:t xml:space="preserve">Externe Datenbanken &amp; Datei-Import (</w:t>
      </w:r>
      <w:r>
        <w:rPr>
          <w:rFonts w:ascii="Courier New" w:hAnsi="Courier New" w:cs="Courier New"/>
        </w:rPr>
        <w:t xml:space="preserve">ExternalSearchPanel.tsx</w:t>
      </w:r>
      <w:r>
        <w:rPr>
          <w:b/>
        </w:rPr>
        <w:t xml:space="preserve">, </w:t>
      </w:r>
      <w:r>
        <w:rPr>
          <w:rFonts w:ascii="Courier New" w:hAnsi="Courier New" w:cs="Courier New"/>
        </w:rPr>
        <w:t xml:space="preserve">ImportForm.tsx</w:t>
      </w:r>
      <w:r>
        <w:rPr>
          <w:b/>
        </w:rPr>
        <w:t xml:space="preserve">):</w:t>
      </w:r>
      <w:r>
        <w:t xml:space="preserve"> Direktimport von </w:t>
      </w:r>
      <w:r>
        <w:rPr>
          <w:rFonts w:ascii="Courier New" w:hAnsi="Courier New" w:cs="Courier New"/>
        </w:rPr>
        <w:t xml:space="preserve">.ris</w:t>
      </w:r>
      <w:r>
        <w:t xml:space="preserve">, </w:t>
      </w:r>
      <w:r>
        <w:rPr>
          <w:rFonts w:ascii="Courier New" w:hAnsi="Courier New" w:cs="Courier New"/>
        </w:rPr>
        <w:t xml:space="preserve">.bib</w:t>
      </w:r>
      <w:r>
        <w:t xml:space="preserve"> (BibTeX), </w:t>
      </w:r>
      <w:r>
        <w:rPr>
          <w:rFonts w:ascii="Courier New" w:hAnsi="Courier New" w:cs="Courier New"/>
        </w:rPr>
        <w:t xml:space="preserve">.nbib</w:t>
      </w:r>
      <w:r>
        <w:t xml:space="preserve"> (PubMed/Medline) und </w:t>
      </w:r>
      <w:r>
        <w:rPr>
          <w:rFonts w:ascii="Courier New" w:hAnsi="Courier New" w:cs="Courier New"/>
        </w:rPr>
        <w:t xml:space="preserve">.csv</w:t>
      </w:r>
      <w:r>
        <w:t xml:space="preserve"> aus Lizenzdatenbanken wie </w:t>
      </w:r>
      <w:r>
        <w:rPr>
          <w:b/>
        </w:rPr>
        <w:t xml:space="preserve">Embase (Ovid)</w:t>
      </w:r>
      <w:r>
        <w:t xml:space="preserve">, </w:t>
      </w:r>
      <w:r>
        <w:rPr>
          <w:b/>
        </w:rPr>
        <w:t xml:space="preserve">Scopus</w:t>
      </w:r>
      <w:r>
        <w:t xml:space="preserve">, </w:t>
      </w:r>
      <w:r>
        <w:rPr>
          <w:b/>
        </w:rPr>
        <w:t xml:space="preserve">Web of Science</w:t>
      </w:r>
      <w:r>
        <w:t xml:space="preserve">, </w:t>
      </w:r>
      <w:r>
        <w:rPr>
          <w:b/>
        </w:rPr>
        <w:t xml:space="preserve">PsycINFO</w:t>
      </w:r>
      <w:r>
        <w:t xml:space="preserve"> oder </w:t>
      </w:r>
      <w:r>
        <w:rPr>
          <w:b/>
        </w:rPr>
        <w:t xml:space="preserve">ERIC</w:t>
      </w:r>
      <w:r>
        <w:t xml:space="preserve"> inklusive PRISMA-S-konformer Dokumentation der Suchoberfläche und mehrzeiligen Suchsyntax.</w:t>
      </w:r>
    </w:p>
    <w:p>
      <w:pPr>
        <w:pStyle w:val="Ueberschrift4"/>
      </w:pPr>
      <w:r>
        <w:t xml:space="preserve">2.2 Doppelscreening, Cohen's Kappa (κ) und Konfliktlösung</w:t>
      </w:r>
    </w:p>
    <w:p>
      <w:pPr>
        <w:jc w:val="center"/>
        <w:spacing w:before="120" w:after="60" w:line="240" w:lineRule="auto"/>
      </w:pPr>
      <w:r>
        <w:drawing>
          <wp:inline distT="0" distB="0" distL="0" distR="0">
            <wp:extent cx="5759450" cy="3671649"/>
            <wp:docPr id="4" name="Abbildung 4"/>
            <wp:cNvGraphicFramePr>
              <a:graphicFrameLocks noChangeAspect="1"/>
            </wp:cNvGraphicFramePr>
            <a:graphic>
              <a:graphicData uri="http://schemas.openxmlformats.org/drawingml/2006/picture">
                <pic:pic>
                  <pic:nvPicPr>
                    <pic:cNvPr id="4" name="image4.png"/>
                    <pic:cNvPicPr/>
                  </pic:nvPicPr>
                  <pic:blipFill>
                    <a:blip r:embed="rIdBild4"/>
                    <a:stretch>
                      <a:fillRect/>
                    </a:stretch>
                  </pic:blipFill>
                  <pic:spPr>
                    <a:xfrm>
                      <a:off x="0" y="0"/>
                      <a:ext cx="5759450" cy="3671649"/>
                    </a:xfrm>
                    <a:prstGeom prst="rect">
                      <a:avLst/>
                    </a:prstGeom>
                  </pic:spPr>
                </pic:pic>
              </a:graphicData>
            </a:graphic>
          </wp:inline>
        </w:drawing>
      </w:r>
    </w:p>
    <w:p>
      <w:r>
        <w:rPr>
          <w:b/>
          <w:sz w:val="18"/>
          <w:szCs w:val="18"/>
        </w:rPr>
        <w:t xml:space="preserve">Abbildung 4: </w:t>
      </w:r>
      <w:r>
        <w:rPr>
          <w:i/>
          <w:sz w:val="18"/>
          <w:szCs w:val="18"/>
        </w:rPr>
        <w:t xml:space="preserve">Doppelscreening &amp; Cohen's Kappa (04-doppelscreening-kappa.png)</w:t>
      </w:r>
    </w:p>
    <w:p>
      <w:r>
        <w:t xml:space="preserve">Im Reiter </w:t>
      </w:r>
      <w:r>
        <w:rPr>
          <w:b/>
        </w:rPr>
        <w:t xml:space="preserve">Screening</w:t>
      </w:r>
      <w:r>
        <w:t xml:space="preserve"> (</w:t>
      </w:r>
      <w:r>
        <w:rPr>
          <w:rFonts w:ascii="Courier New" w:hAnsi="Courier New" w:cs="Courier New"/>
        </w:rPr>
        <w:t xml:space="preserve">ScreeningQueue.tsx</w:t>
      </w:r>
      <w:r>
        <w:t xml:space="preserve">) wird jede importierte Arbeit zweistufig geprüft (</w:t>
      </w:r>
      <w:r>
        <w:rPr>
          <w:b/>
        </w:rPr>
        <w:t xml:space="preserve">Titel/Abstract-Screening</w:t>
      </w:r>
      <w:r>
        <w:t xml:space="preserve"> arrow </w:t>
      </w:r>
      <w:r>
        <w:rPr>
          <w:b/>
        </w:rPr>
        <w:t xml:space="preserve">Volltext-Prüfung</w:t>
      </w:r>
      <w:r>
        <w:t xml:space="preserve">):</w:t>
      </w:r>
    </w:p>
    <w:p>
      <w:pPr>
        <w:numPr>
          <w:ilvl w:val="0"/>
          <w:numId w:val="1"/>
        </w:numPr>
      </w:pPr>
      <w:r>
        <w:rPr>
          <w:b/>
        </w:rPr>
        <w:t xml:space="preserve">Inter-Rater-Reliabilität nach Cohen's κ (</w:t>
      </w:r>
      <w:r>
        <w:rPr>
          <w:rFonts w:ascii="Courier New" w:hAnsi="Courier New" w:cs="Courier New"/>
        </w:rPr>
        <w:t xml:space="preserve">screeningAgreement</w:t>
      </w:r>
      <w:r>
        <w:rPr>
          <w:b/>
        </w:rPr>
        <w:t xml:space="preserve">):</w:t>
      </w:r>
      <w:r>
        <w:t xml:space="preserve"> Berechnet laufend die zufallskorrigierte Übereinstimmung zwischen Reviewer A und Reviewer B:</w:t>
      </w:r>
    </w:p>
    <w:p>
      <w:r>
        <w:t xml:space="preserve">κ = p_o - p_e/1 - p_e wobei p_o die beobachtete Übereinstimmungsrate und p_e die bei Zufall erwartete Übereinstimmung ist.</w:t>
      </w:r>
    </w:p>
    <w:p>
      <w:pPr>
        <w:numPr>
          <w:ilvl w:val="0"/>
          <w:numId w:val="1"/>
        </w:numPr>
      </w:pPr>
      <w:r>
        <w:rPr>
          <w:b/>
        </w:rPr>
        <w:t xml:space="preserve">Orientierungswerte nach Landis &amp; Koch (1977):</w:t>
      </w:r>
      <w:r>
        <w:t xml:space="preserve"> κ &lt; 0,40 mäßig, 0,41–0,60 moderat, 0,61–0,80 substanziell, &gt; 0,80 fast perfekt.</w:t>
      </w:r>
    </w:p>
    <w:p>
      <w:pPr>
        <w:numPr>
          <w:ilvl w:val="0"/>
          <w:numId w:val="1"/>
        </w:numPr>
      </w:pPr>
      <w:r>
        <w:rPr>
          <w:b/>
        </w:rPr>
        <w:t xml:space="preserve">Konflikt-Queue &amp; Drittentscheid:</w:t>
      </w:r>
      <w:r>
        <w:t xml:space="preserve"> Stimmt Reviewer A für </w:t>
      </w:r>
      <w:r>
        <w:rPr>
          <w:i/>
        </w:rPr>
        <w:t xml:space="preserve">Einschließen</w:t>
      </w:r>
      <w:r>
        <w:t xml:space="preserve"> und Reviewer B für </w:t>
      </w:r>
      <w:r>
        <w:rPr>
          <w:i/>
        </w:rPr>
        <w:t xml:space="preserve">Ausschließen</w:t>
      </w:r>
      <w:r>
        <w:t xml:space="preserve">, wechselt die Studie automatisch in den Status </w:t>
      </w:r>
      <w:r>
        <w:rPr>
          <w:rFonts w:ascii="Courier New" w:hAnsi="Courier New" w:cs="Courier New"/>
        </w:rPr>
        <w:t xml:space="preserve">conflict</w:t>
      </w:r>
      <w:r>
        <w:t xml:space="preserve"> und erscheint in der Karte </w:t>
      </w:r>
      <w:r>
        <w:rPr>
          <w:b/>
        </w:rPr>
        <w:t xml:space="preserve">Konflikt-Lösung (Drittentscheid)</w:t>
      </w:r>
      <w:r>
        <w:t xml:space="preserve">, wo eine dritte Person (oder das Konsensgespräch) die finale Entscheidung mit dokumentierter Begründung trifft.</w:t>
      </w:r>
    </w:p>
    <w:p>
      <w:pPr>
        <w:numPr>
          <w:ilvl w:val="0"/>
          <w:numId w:val="1"/>
        </w:numPr>
      </w:pPr>
      <w:r>
        <w:rPr>
          <w:b/>
        </w:rPr>
        <w:t xml:space="preserve">PRISMA-2020-Ausschlussgründe:</w:t>
      </w:r>
      <w:r>
        <w:t xml:space="preserve"> Bei jedem Volltext-Ausschluss erzwingt EvidenzWerk eine strukturierte Begründung (z. B. </w:t>
      </w:r>
      <w:r>
        <w:rPr>
          <w:i/>
        </w:rPr>
        <w:t xml:space="preserve">Population nicht PICOS-konform</w:t>
      </w:r>
      <w:r>
        <w:t xml:space="preserve">, </w:t>
      </w:r>
      <w:r>
        <w:rPr>
          <w:i/>
        </w:rPr>
        <w:t xml:space="preserve">kein kontrolliertes Design</w:t>
      </w:r>
      <w:r>
        <w:t xml:space="preserve">, </w:t>
      </w:r>
      <w:r>
        <w:rPr>
          <w:i/>
        </w:rPr>
        <w:t xml:space="preserve">Intervention nicht generativ</w:t>
      </w:r>
      <w:r>
        <w:t xml:space="preserve">, </w:t>
      </w:r>
      <w:r>
        <w:rPr>
          <w:i/>
        </w:rPr>
        <w:t xml:space="preserve">Retraktion / Datenintegrität</w:t>
      </w:r>
      <w:r>
        <w:t xml:space="preserve">), da PRISMA 2020 (Item 16b) im Bericht für jeden ausgeschlossenen Volltext den exakten Grund verlangt.</w:t>
      </w:r>
    </w:p>
    <w:p>
      <w:pPr>
        <w:pBdr>
          <w:bottom w:val="single" w:sz="6" w:space="1" w:color="B4B4B4"/>
        </w:pBdr>
      </w:pPr>
    </w:p>
    <w:p>
      <w:pPr>
        <w:pStyle w:val="Ueberschrift3"/>
      </w:pPr>
      <w:r>
        <w:t xml:space="preserve">3. Volltext-Extraktion mit Seitenanker und Belegzitat</w:t>
      </w:r>
    </w:p>
    <w:p>
      <w:pPr>
        <w:jc w:val="center"/>
        <w:spacing w:before="120" w:after="60" w:line="240" w:lineRule="auto"/>
      </w:pPr>
      <w:r>
        <w:drawing>
          <wp:inline distT="0" distB="0" distL="0" distR="0">
            <wp:extent cx="5759450" cy="3671649"/>
            <wp:docPr id="5" name="Abbildung 5"/>
            <wp:cNvGraphicFramePr>
              <a:graphicFrameLocks noChangeAspect="1"/>
            </wp:cNvGraphicFramePr>
            <a:graphic>
              <a:graphicData uri="http://schemas.openxmlformats.org/drawingml/2006/picture">
                <pic:pic>
                  <pic:nvPicPr>
                    <pic:cNvPr id="5" name="image5.png"/>
                    <pic:cNvPicPr/>
                  </pic:nvPicPr>
                  <pic:blipFill>
                    <a:blip r:embed="rIdBild5"/>
                    <a:stretch>
                      <a:fillRect/>
                    </a:stretch>
                  </pic:blipFill>
                  <pic:spPr>
                    <a:xfrm>
                      <a:off x="0" y="0"/>
                      <a:ext cx="5759450" cy="3671649"/>
                    </a:xfrm>
                    <a:prstGeom prst="rect">
                      <a:avLst/>
                    </a:prstGeom>
                  </pic:spPr>
                </pic:pic>
              </a:graphicData>
            </a:graphic>
          </wp:inline>
        </w:drawing>
      </w:r>
    </w:p>
    <w:p>
      <w:r>
        <w:rPr>
          <w:b/>
          <w:sz w:val="18"/>
          <w:szCs w:val="18"/>
        </w:rPr>
        <w:t xml:space="preserve">Abbildung 5: </w:t>
      </w:r>
      <w:r>
        <w:rPr>
          <w:i/>
          <w:sz w:val="18"/>
          <w:szCs w:val="18"/>
        </w:rPr>
        <w:t xml:space="preserve">KI-Extraktion mit Belegzitat (05-ki-extraktion-belegzitat.png)</w:t>
      </w:r>
    </w:p>
    <w:p>
      <w:r>
        <w:t xml:space="preserve">Im Reiter </w:t>
      </w:r>
      <w:r>
        <w:rPr>
          <w:b/>
        </w:rPr>
        <w:t xml:space="preserve">Extraktion</w:t>
      </w:r>
      <w:r>
        <w:t xml:space="preserve"> (</w:t>
      </w:r>
      <w:r>
        <w:rPr>
          <w:rFonts w:ascii="Courier New" w:hAnsi="Courier New" w:cs="Courier New"/>
        </w:rPr>
        <w:t xml:space="preserve">ExtractionPanel.tsx</w:t>
      </w:r>
      <w:r>
        <w:t xml:space="preserve">, </w:t>
      </w:r>
      <w:r>
        <w:rPr>
          <w:rFonts w:ascii="Courier New" w:hAnsi="Courier New" w:cs="Courier New"/>
        </w:rPr>
        <w:t xml:space="preserve">lib/extract.ts</w:t>
      </w:r>
      <w:r>
        <w:t xml:space="preserve">) beschafft EvidenzWerk Open-Access-Volltexte automatisch über </w:t>
      </w:r>
      <w:r>
        <w:rPr>
          <w:b/>
        </w:rPr>
        <w:t xml:space="preserve">Unpaywall</w:t>
      </w:r>
      <w:r>
        <w:t xml:space="preserve"> und </w:t>
      </w:r>
      <w:r>
        <w:rPr>
          <w:b/>
        </w:rPr>
        <w:t xml:space="preserve">Europe PMC</w:t>
      </w:r>
      <w:r>
        <w:t xml:space="preserve"> (</w:t>
      </w:r>
      <w:r>
        <w:rPr>
          <w:rFonts w:ascii="Courier New" w:hAnsi="Courier New" w:cs="Courier New"/>
        </w:rPr>
        <w:t xml:space="preserve">lib/pdf-fetch.ts</w:t>
      </w:r>
      <w:r>
        <w:t xml:space="preserve">), prüft anhand von DOI und Titel-Token-Abgleich, ob die PDF-Datei wirklich zur Studie gehört (</w:t>
      </w:r>
      <w:r>
        <w:rPr>
          <w:rFonts w:ascii="Courier New" w:hAnsi="Courier New" w:cs="Courier New"/>
        </w:rPr>
        <w:t xml:space="preserve">lib/pdf-identity.ts</w:t>
      </w:r>
      <w:r>
        <w:t xml:space="preserve">), und extrahiert strukturierte Befunde:</w:t>
      </w:r>
    </w:p>
    <w:p>
      <w:pPr>
        <w:numPr>
          <w:ilvl w:val="0"/>
          <w:numId w:val="1"/>
        </w:numPr>
      </w:pPr>
      <w:r>
        <w:rPr>
          <w:b/>
        </w:rPr>
        <w:t xml:space="preserve">Keine Zahl ohne wörtliches Belegzitat und Seitenzahl:</w:t>
      </w:r>
      <w:r>
        <w:t xml:space="preserve"> Jede extrahierte Angabe zu Stichprobengröße, Mittelwerten, Standardabweichungen, t-/F-/p-Werten oder Hazard Ratios wird zwingend mit dem </w:t>
      </w:r>
      <w:r>
        <w:rPr>
          <w:b/>
        </w:rPr>
        <w:t xml:space="preserve">wörtlichen Zitat aus dem PDF (</w:t>
      </w:r>
      <w:r>
        <w:rPr>
          <w:rFonts w:ascii="Courier New" w:hAnsi="Courier New" w:cs="Courier New"/>
        </w:rPr>
        <w:t xml:space="preserve">quote</w:t>
      </w:r>
      <w:r>
        <w:rPr>
          <w:b/>
        </w:rPr>
        <w:t xml:space="preserve">)</w:t>
      </w:r>
      <w:r>
        <w:t xml:space="preserve"> und der </w:t>
      </w:r>
      <w:r>
        <w:rPr>
          <w:b/>
        </w:rPr>
        <w:t xml:space="preserve">Fundstelle (</w:t>
      </w:r>
      <w:r>
        <w:rPr>
          <w:rFonts w:ascii="Courier New" w:hAnsi="Courier New" w:cs="Courier New"/>
        </w:rPr>
        <w:t xml:space="preserve">page</w:t>
      </w:r>
      <w:r>
        <w:rPr>
          <w:b/>
        </w:rPr>
        <w:t xml:space="preserve"> / Abschnitt)</w:t>
      </w:r>
      <w:r>
        <w:t xml:space="preserve"> gespeichert.</w:t>
      </w:r>
    </w:p>
    <w:p>
      <w:pPr>
        <w:numPr>
          <w:ilvl w:val="0"/>
          <w:numId w:val="1"/>
        </w:numPr>
      </w:pPr>
      <w:r>
        <w:rPr>
          <w:b/>
        </w:rPr>
        <w:t xml:space="preserve">1-Klick-Übernahme in die Kodiermaske:</w:t>
      </w:r>
      <w:r>
        <w:t xml:space="preserve"> Ein Klick auf </w:t>
      </w:r>
      <w:r>
        <w:rPr>
          <w:i/>
        </w:rPr>
        <w:t xml:space="preserve">„Übernehmen → Codierung“</w:t>
      </w:r>
      <w:r>
        <w:t xml:space="preserve"> überträgt die extrahierten Zahlen direkt in die Effektgrößen-Eingabemaske, markiert den Befund als menschlich geprüft (</w:t>
      </w:r>
      <w:r>
        <w:rPr>
          <w:rFonts w:ascii="Courier New" w:hAnsi="Courier New" w:cs="Courier New"/>
        </w:rPr>
        <w:t xml:space="preserve">confirmed = 1</w:t>
      </w:r>
      <w:r>
        <w:t xml:space="preserve">) und protokolliert den Vorgang im Audit-Trail.</w:t>
      </w:r>
    </w:p>
    <w:p>
      <w:pPr>
        <w:pBdr>
          <w:bottom w:val="single" w:sz="6" w:space="1" w:color="B4B4B4"/>
        </w:pBdr>
      </w:pPr>
    </w:p>
    <w:p>
      <w:pPr>
        <w:pStyle w:val="Ueberschrift3"/>
      </w:pPr>
      <w:r>
        <w:t xml:space="preserve">4. Großes Methoden-Kompendium: Alle 10 Effektgrößen-Metriken &amp; Studiendesigns</w:t>
      </w:r>
    </w:p>
    <w:p>
      <w:pPr>
        <w:pStyle w:val="Zitat"/>
      </w:pPr>
      <w:r>
        <w:rPr>
          <w:b/>
        </w:rPr>
        <w:t xml:space="preserve">Hinweis (NOTE):</w:t>
      </w:r>
      <w:r>
        <w:t xml:space="preserve"> </w:t>
      </w:r>
      <w:r>
        <w:rPr>
          <w:b/>
        </w:rPr>
        <w:t xml:space="preserve">Ihr Spickzettel für fremde Fachgebiete:</w:t>
      </w:r>
      <w:r>
        <w:t xml:space="preserve"> Nicht jede Meta-Analyse nutzt dieselbe Effektgröße. Während in Psychologie und Bildungsforschung </w:t>
      </w:r>
      <w:r>
        <w:rPr>
          <w:b/>
        </w:rPr>
        <w:t xml:space="preserve">Hedges' g</w:t>
      </w:r>
      <w:r>
        <w:t xml:space="preserve"> und </w:t>
      </w:r>
      <w:r>
        <w:rPr>
          <w:b/>
        </w:rPr>
        <w:t xml:space="preserve">Korrelationen r</w:t>
      </w:r>
      <w:r>
        <w:t xml:space="preserve"> dominieren, arbeiten Innere Medizin, Kardiologie und Epidemiologie mit </w:t>
      </w:r>
      <w:r>
        <w:rPr>
          <w:b/>
        </w:rPr>
        <w:t xml:space="preserve">Odds Ratios (OR)</w:t>
      </w:r>
      <w:r>
        <w:t xml:space="preserve">, </w:t>
      </w:r>
      <w:r>
        <w:rPr>
          <w:b/>
        </w:rPr>
        <w:t xml:space="preserve">Risk Ratios (RR)</w:t>
      </w:r>
      <w:r>
        <w:t xml:space="preserve">, </w:t>
      </w:r>
      <w:r>
        <w:rPr>
          <w:b/>
        </w:rPr>
        <w:t xml:space="preserve">Risikodifferenzen (RD / NNT)</w:t>
      </w:r>
      <w:r>
        <w:t xml:space="preserve"> und </w:t>
      </w:r>
      <w:r>
        <w:rPr>
          <w:b/>
        </w:rPr>
        <w:t xml:space="preserve">Inzidenzratenverhältnissen (IRR)</w:t>
      </w:r>
      <w:r>
        <w:t xml:space="preserve">, die Onkologie mit </w:t>
      </w:r>
      <w:r>
        <w:rPr>
          <w:b/>
        </w:rPr>
        <w:t xml:space="preserve">Hazard Ratios (HR)</w:t>
      </w:r>
      <w:r>
        <w:t xml:space="preserve"> aus Überlebenszeitkurven und die Epidemiologie/Radiologie mit </w:t>
      </w:r>
      <w:r>
        <w:rPr>
          <w:b/>
        </w:rPr>
        <w:t xml:space="preserve">Prävalenz-Anteilen</w:t>
      </w:r>
      <w:r>
        <w:t xml:space="preserve"> oder </w:t>
      </w:r>
      <w:r>
        <w:rPr>
          <w:b/>
        </w:rPr>
        <w:t xml:space="preserve">Sensitivität/Spezifität</w:t>
      </w:r>
      <w:r>
        <w:t xml:space="preserve">. EvidenzWerk beherrscht alle zehn Metriken nativ in </w:t>
      </w:r>
      <w:r>
        <w:rPr>
          <w:rFonts w:ascii="Courier New" w:hAnsi="Courier New" w:cs="Courier New"/>
        </w:rPr>
        <w:t xml:space="preserve">lib/stats.ts</w:t>
      </w:r>
      <w:r>
        <w:t xml:space="preserve"> und </w:t>
      </w:r>
      <w:r>
        <w:rPr>
          <w:rFonts w:ascii="Courier New" w:hAnsi="Courier New" w:cs="Courier New"/>
        </w:rPr>
        <w:t xml:space="preserve">lib/metrics.ts</w:t>
      </w:r>
      <w:r>
        <w:t xml:space="preserve">.</w:t>
      </w:r>
    </w:p>
    <w:tbl>
      <w:tblPr>
        <w:tblW w:w="9070" w:type="dxa"/>
        <w:tblLayout w:type="fixed"/>
        <w:tblBorders>
          <w:top w:val="single" w:sz="4" w:space="0" w:color="B4B4B4"/>
          <w:left w:val="single" w:sz="4" w:space="0" w:color="B4B4B4"/>
          <w:bottom w:val="single" w:sz="4" w:space="0" w:color="B4B4B4"/>
          <w:right w:val="single" w:sz="4" w:space="0" w:color="B4B4B4"/>
          <w:insideH w:val="single" w:sz="4" w:space="0" w:color="B4B4B4"/>
          <w:insideV w:val="single" w:sz="4" w:space="0" w:color="B4B4B4"/>
        </w:tblBorders>
      </w:tblPr>
      <w:tblGrid>
        <w:gridCol w:w="1296"/>
        <w:gridCol w:w="1296"/>
        <w:gridCol w:w="1296"/>
        <w:gridCol w:w="1296"/>
        <w:gridCol w:w="1296"/>
        <w:gridCol w:w="1296"/>
        <w:gridCol w:w="1294"/>
      </w:tblGrid>
      <w:tr>
        <w:trPr>
          <w:tblHeader/>
          <w:cantSplit/>
        </w:trPr>
        <w:tc>
          <w:tcPr>
            <w:tcW w:w="1296"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Kürzel</w:t>
            </w:r>
          </w:p>
        </w:tc>
        <w:tc>
          <w:tcPr>
            <w:tcW w:w="1296"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Name der Metrik</w:t>
            </w:r>
          </w:p>
        </w:tc>
        <w:tc>
          <w:tcPr>
            <w:tcW w:w="1296"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Typisches Fachgebiet</w:t>
            </w:r>
          </w:p>
        </w:tc>
        <w:tc>
          <w:tcPr>
            <w:tcW w:w="1296"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Wann verwenden?</w:t>
            </w:r>
          </w:p>
        </w:tc>
        <w:tc>
          <w:tcPr>
            <w:tcW w:w="1296"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Rechenskala (intern)</w:t>
            </w:r>
          </w:p>
        </w:tc>
        <w:tc>
          <w:tcPr>
            <w:tcW w:w="1296"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Berichtete Skala (Plot/Text)</w:t>
            </w:r>
          </w:p>
        </w:tc>
        <w:tc>
          <w:tcPr>
            <w:tcW w:w="1294"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Neutralwert (kein Effekt)</w:t>
            </w:r>
          </w:p>
        </w:tc>
      </w:tr>
      <w:tr>
        <w:trPr>
          <w:cantSplit/>
        </w:trPr>
        <w:tc>
          <w:tcPr>
            <w:tcW w:w="1296"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smd</w:t>
            </w:r>
          </w:p>
        </w:tc>
        <w:tc>
          <w:tcPr>
            <w:tcW w:w="1296" w:type="dxa"/>
            <w:tcMar>
              <w:top w:w="60" w:type="dxa"/>
              <w:left w:w="80" w:type="dxa"/>
              <w:bottom w:w="60" w:type="dxa"/>
              <w:right w:w="80" w:type="dxa"/>
            </w:tcMar>
          </w:tcPr>
          <w:p>
            <w:pPr>
              <w:suppressLineNumbers/>
              <w:spacing w:before="20" w:after="20" w:line="240" w:lineRule="auto"/>
            </w:pPr>
            <w:r>
              <w:rPr>
                <w:b/>
                <w:sz w:val="18"/>
                <w:szCs w:val="18"/>
              </w:rPr>
              <w:t xml:space="preserve">Hedges' g</w:t>
            </w:r>
            <w:r>
              <w:rPr>
                <w:sz w:val="18"/>
                <w:szCs w:val="18"/>
              </w:rPr>
              <w:t xml:space="preserve"> (standardisierte Mittelwertdifferenz)</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Psychologie, Medizin, Bildungsforschung, Sozialwissenschaften</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Kontinuierliches Outcome (z. B. Schmerz, Depression, Lernleistung), das in verschiedenen Studien mit </w:t>
            </w:r>
            <w:r>
              <w:rPr>
                <w:b/>
                <w:sz w:val="18"/>
                <w:szCs w:val="18"/>
              </w:rPr>
              <w:t xml:space="preserve">unterschiedlichen Tests/Skalen</w:t>
            </w:r>
            <w:r>
              <w:rPr>
                <w:sz w:val="18"/>
                <w:szCs w:val="18"/>
              </w:rPr>
              <w:t xml:space="preserve"> gemessen wurde.</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Linear (g)</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Linear (g)</w:t>
            </w:r>
          </w:p>
        </w:tc>
        <w:tc>
          <w:tcPr>
            <w:tcW w:w="1294" w:type="dxa"/>
            <w:tcMar>
              <w:top w:w="60" w:type="dxa"/>
              <w:left w:w="80" w:type="dxa"/>
              <w:bottom w:w="60" w:type="dxa"/>
              <w:right w:w="80" w:type="dxa"/>
            </w:tcMar>
          </w:tcPr>
          <w:p>
            <w:pPr>
              <w:suppressLineNumbers/>
              <w:spacing w:before="20" w:after="20" w:line="240" w:lineRule="auto"/>
            </w:pPr>
            <w:r>
              <w:rPr>
                <w:sz w:val="18"/>
                <w:szCs w:val="18"/>
              </w:rPr>
              <w:t xml:space="preserve">$0$</w:t>
            </w:r>
          </w:p>
        </w:tc>
      </w:tr>
      <w:tr>
        <w:trPr>
          <w:cantSplit/>
        </w:trPr>
        <w:tc>
          <w:tcPr>
            <w:tcW w:w="1296"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md</w:t>
            </w:r>
          </w:p>
        </w:tc>
        <w:tc>
          <w:tcPr>
            <w:tcW w:w="1296" w:type="dxa"/>
            <w:tcMar>
              <w:top w:w="60" w:type="dxa"/>
              <w:left w:w="80" w:type="dxa"/>
              <w:bottom w:w="60" w:type="dxa"/>
              <w:right w:w="80" w:type="dxa"/>
            </w:tcMar>
          </w:tcPr>
          <w:p>
            <w:pPr>
              <w:suppressLineNumbers/>
              <w:spacing w:before="20" w:after="20" w:line="240" w:lineRule="auto"/>
            </w:pPr>
            <w:r>
              <w:rPr>
                <w:b/>
                <w:sz w:val="18"/>
                <w:szCs w:val="18"/>
              </w:rPr>
              <w:t xml:space="preserve">Mittelwertdifferenz (MD)</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Kardiologie, Intensivmedizin, Labormedizin</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Kontinuierliches Outcome auf </w:t>
            </w:r>
            <w:r>
              <w:rPr>
                <w:b/>
                <w:sz w:val="18"/>
                <w:szCs w:val="18"/>
              </w:rPr>
              <w:t xml:space="preserve">exakt derselben natürlichen Einheit</w:t>
            </w:r>
            <w:r>
              <w:rPr>
                <w:sz w:val="18"/>
                <w:szCs w:val="18"/>
              </w:rPr>
              <w:t xml:space="preserve"> in allen Studien (z. B. Blutdruck in mmHg, HbA1c in %, OP-Dauer in Minuten).</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Linear (MD)</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Linear (MD)</w:t>
            </w:r>
          </w:p>
        </w:tc>
        <w:tc>
          <w:tcPr>
            <w:tcW w:w="1294" w:type="dxa"/>
            <w:tcMar>
              <w:top w:w="60" w:type="dxa"/>
              <w:left w:w="80" w:type="dxa"/>
              <w:bottom w:w="60" w:type="dxa"/>
              <w:right w:w="80" w:type="dxa"/>
            </w:tcMar>
          </w:tcPr>
          <w:p>
            <w:pPr>
              <w:suppressLineNumbers/>
              <w:spacing w:before="20" w:after="20" w:line="240" w:lineRule="auto"/>
            </w:pPr>
            <w:r>
              <w:rPr>
                <w:sz w:val="18"/>
                <w:szCs w:val="18"/>
              </w:rPr>
              <w:t xml:space="preserve">$0$</w:t>
            </w:r>
          </w:p>
        </w:tc>
      </w:tr>
      <w:tr>
        <w:trPr>
          <w:cantSplit/>
        </w:trPr>
        <w:tc>
          <w:tcPr>
            <w:tcW w:w="1296"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r</w:t>
            </w:r>
          </w:p>
        </w:tc>
        <w:tc>
          <w:tcPr>
            <w:tcW w:w="1296" w:type="dxa"/>
            <w:tcMar>
              <w:top w:w="60" w:type="dxa"/>
              <w:left w:w="80" w:type="dxa"/>
              <w:bottom w:w="60" w:type="dxa"/>
              <w:right w:w="80" w:type="dxa"/>
            </w:tcMar>
          </w:tcPr>
          <w:p>
            <w:pPr>
              <w:suppressLineNumbers/>
              <w:spacing w:before="20" w:after="20" w:line="240" w:lineRule="auto"/>
            </w:pPr>
            <w:r>
              <w:rPr>
                <w:b/>
                <w:sz w:val="18"/>
                <w:szCs w:val="18"/>
              </w:rPr>
              <w:t xml:space="preserve">Korrelation r</w:t>
            </w:r>
            <w:r>
              <w:rPr>
                <w:sz w:val="18"/>
                <w:szCs w:val="18"/>
              </w:rPr>
              <w:t xml:space="preserve"> (über Fisher's z)</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Differentielle, Arbeits- &amp; Organisationspsychologie</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Zusammenhang zweier kontinuierlicher Variablen ohne Gruppenaufteilung (z. B. Intelligenz und Berufserfolg).</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Fisher's z = artanh(r)</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r = tanh(z) in (-1, +1)</w:t>
            </w:r>
          </w:p>
        </w:tc>
        <w:tc>
          <w:tcPr>
            <w:tcW w:w="1294" w:type="dxa"/>
            <w:tcMar>
              <w:top w:w="60" w:type="dxa"/>
              <w:left w:w="80" w:type="dxa"/>
              <w:bottom w:w="60" w:type="dxa"/>
              <w:right w:w="80" w:type="dxa"/>
            </w:tcMar>
          </w:tcPr>
          <w:p>
            <w:pPr>
              <w:suppressLineNumbers/>
              <w:spacing w:before="20" w:after="20" w:line="240" w:lineRule="auto"/>
            </w:pPr>
            <w:r>
              <w:rPr>
                <w:sz w:val="18"/>
                <w:szCs w:val="18"/>
              </w:rPr>
              <w:t xml:space="preserve">$0$</w:t>
            </w:r>
          </w:p>
        </w:tc>
      </w:tr>
      <w:tr>
        <w:trPr>
          <w:cantSplit/>
        </w:trPr>
        <w:tc>
          <w:tcPr>
            <w:tcW w:w="1296"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or</w:t>
            </w:r>
          </w:p>
        </w:tc>
        <w:tc>
          <w:tcPr>
            <w:tcW w:w="1296" w:type="dxa"/>
            <w:tcMar>
              <w:top w:w="60" w:type="dxa"/>
              <w:left w:w="80" w:type="dxa"/>
              <w:bottom w:w="60" w:type="dxa"/>
              <w:right w:w="80" w:type="dxa"/>
            </w:tcMar>
          </w:tcPr>
          <w:p>
            <w:pPr>
              <w:suppressLineNumbers/>
              <w:spacing w:before="20" w:after="20" w:line="240" w:lineRule="auto"/>
            </w:pPr>
            <w:r>
              <w:rPr>
                <w:b/>
                <w:sz w:val="18"/>
                <w:szCs w:val="18"/>
              </w:rPr>
              <w:t xml:space="preserve">Odds Ratio (OR)</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Epidemiologie, Fall-Kontroll-Studien, Logistische Regression</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Binäres Ereignis (Ja/Nein, Tod/Überleben, Remission), insbesondere bei Fall-Kontroll-Designs oder adjustierten logistischen Modellen.</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ln(OR)</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OR = exp(y)</w:t>
            </w:r>
          </w:p>
        </w:tc>
        <w:tc>
          <w:tcPr>
            <w:tcW w:w="1294" w:type="dxa"/>
            <w:tcMar>
              <w:top w:w="60" w:type="dxa"/>
              <w:left w:w="80" w:type="dxa"/>
              <w:bottom w:w="60" w:type="dxa"/>
              <w:right w:w="80" w:type="dxa"/>
            </w:tcMar>
          </w:tcPr>
          <w:p>
            <w:pPr>
              <w:suppressLineNumbers/>
              <w:spacing w:before="20" w:after="20" w:line="240" w:lineRule="auto"/>
            </w:pPr>
            <w:r>
              <w:rPr>
                <w:sz w:val="18"/>
                <w:szCs w:val="18"/>
              </w:rPr>
              <w:t xml:space="preserve">1,0</w:t>
            </w:r>
          </w:p>
        </w:tc>
      </w:tr>
      <w:tr>
        <w:trPr>
          <w:cantSplit/>
        </w:trPr>
        <w:tc>
          <w:tcPr>
            <w:tcW w:w="1296"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rr</w:t>
            </w:r>
          </w:p>
        </w:tc>
        <w:tc>
          <w:tcPr>
            <w:tcW w:w="1296" w:type="dxa"/>
            <w:tcMar>
              <w:top w:w="60" w:type="dxa"/>
              <w:left w:w="80" w:type="dxa"/>
              <w:bottom w:w="60" w:type="dxa"/>
              <w:right w:w="80" w:type="dxa"/>
            </w:tcMar>
          </w:tcPr>
          <w:p>
            <w:pPr>
              <w:suppressLineNumbers/>
              <w:spacing w:before="20" w:after="20" w:line="240" w:lineRule="auto"/>
            </w:pPr>
            <w:r>
              <w:rPr>
                <w:b/>
                <w:sz w:val="18"/>
                <w:szCs w:val="18"/>
              </w:rPr>
              <w:t xml:space="preserve">Risk Ratio / Relatives Risiko (RR)</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Klinische RCTs, prospektive Kohortenstudien</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Binäres Ereignis in prospektiven Studien: Verhältnis der Ereigniswahrscheinlichkeit p₁ / p₂. Leichter verständlich als OR, wenn Ereignisse häufig sind (&gt; 10 %).</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ln(RR)</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RR = exp(y)</w:t>
            </w:r>
          </w:p>
        </w:tc>
        <w:tc>
          <w:tcPr>
            <w:tcW w:w="1294" w:type="dxa"/>
            <w:tcMar>
              <w:top w:w="60" w:type="dxa"/>
              <w:left w:w="80" w:type="dxa"/>
              <w:bottom w:w="60" w:type="dxa"/>
              <w:right w:w="80" w:type="dxa"/>
            </w:tcMar>
          </w:tcPr>
          <w:p>
            <w:pPr>
              <w:suppressLineNumbers/>
              <w:spacing w:before="20" w:after="20" w:line="240" w:lineRule="auto"/>
            </w:pPr>
            <w:r>
              <w:rPr>
                <w:sz w:val="18"/>
                <w:szCs w:val="18"/>
              </w:rPr>
              <w:t xml:space="preserve">1,0</w:t>
            </w:r>
          </w:p>
        </w:tc>
      </w:tr>
      <w:tr>
        <w:trPr>
          <w:cantSplit/>
        </w:trPr>
        <w:tc>
          <w:tcPr>
            <w:tcW w:w="1296"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rd</w:t>
            </w:r>
          </w:p>
        </w:tc>
        <w:tc>
          <w:tcPr>
            <w:tcW w:w="1296" w:type="dxa"/>
            <w:tcMar>
              <w:top w:w="60" w:type="dxa"/>
              <w:left w:w="80" w:type="dxa"/>
              <w:bottom w:w="60" w:type="dxa"/>
              <w:right w:w="80" w:type="dxa"/>
            </w:tcMar>
          </w:tcPr>
          <w:p>
            <w:pPr>
              <w:suppressLineNumbers/>
              <w:spacing w:before="20" w:after="20" w:line="240" w:lineRule="auto"/>
            </w:pPr>
            <w:r>
              <w:rPr>
                <w:b/>
                <w:sz w:val="18"/>
                <w:szCs w:val="18"/>
              </w:rPr>
              <w:t xml:space="preserve">Risikodifferenz (RD) &amp; NNT</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Klinische Leitlinien, Versorgungsforschung, EbM</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Absolute Risikosenkung p₁ - p₂ und daraus abgeleitete </w:t>
            </w:r>
            <w:r>
              <w:rPr>
                <w:sz w:val="18"/>
                <w:szCs w:val="18"/>
              </w:rPr>
              <w:t xml:space="preserve">Number Needed to Treat (NNT = 1 /</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RD</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w:t>
            </w:r>
            <w:r>
              <w:rPr>
                <w:sz w:val="18"/>
                <w:szCs w:val="18"/>
              </w:rPr>
              <w:t xml:space="preserve"> nach Altman (1998).</w:t>
            </w:r>
          </w:p>
        </w:tc>
        <w:tc>
          <w:tcPr>
            <w:tcW w:w="1294" w:type="dxa"/>
            <w:tcMar>
              <w:top w:w="60" w:type="dxa"/>
              <w:left w:w="80" w:type="dxa"/>
              <w:bottom w:w="60" w:type="dxa"/>
              <w:right w:w="80" w:type="dxa"/>
            </w:tcMar>
          </w:tcPr>
          <w:p>
            <w:pPr>
              <w:suppressLineNumbers/>
              <w:spacing w:before="20" w:after="20" w:line="240" w:lineRule="auto"/>
            </w:pPr>
            <w:r>
              <w:rPr>
                <w:sz w:val="18"/>
                <w:szCs w:val="18"/>
              </w:rPr>
              <w:t xml:space="preserve">Linear (RD)</w:t>
            </w:r>
          </w:p>
        </w:tc>
      </w:tr>
      <w:tr>
        <w:trPr>
          <w:cantSplit/>
        </w:trPr>
        <w:tc>
          <w:tcPr>
            <w:tcW w:w="1296"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irr</w:t>
            </w:r>
          </w:p>
        </w:tc>
        <w:tc>
          <w:tcPr>
            <w:tcW w:w="1296" w:type="dxa"/>
            <w:tcMar>
              <w:top w:w="60" w:type="dxa"/>
              <w:left w:w="80" w:type="dxa"/>
              <w:bottom w:w="60" w:type="dxa"/>
              <w:right w:w="80" w:type="dxa"/>
            </w:tcMar>
          </w:tcPr>
          <w:p>
            <w:pPr>
              <w:suppressLineNumbers/>
              <w:spacing w:before="20" w:after="20" w:line="240" w:lineRule="auto"/>
            </w:pPr>
            <w:r>
              <w:rPr>
                <w:b/>
                <w:sz w:val="18"/>
                <w:szCs w:val="18"/>
              </w:rPr>
              <w:t xml:space="preserve">Inzidenzratenverhältnis (IRR)</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Infektiologie, Pneumologie, Pharmakoepidemiologie</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Zählereignisse pro </w:t>
            </w:r>
            <w:r>
              <w:rPr>
                <w:b/>
                <w:sz w:val="18"/>
                <w:szCs w:val="18"/>
              </w:rPr>
              <w:t xml:space="preserve">Personenzeit</w:t>
            </w:r>
            <w:r>
              <w:rPr>
                <w:sz w:val="18"/>
                <w:szCs w:val="18"/>
              </w:rPr>
              <w:t xml:space="preserve"> (z. B. Asthma-Anfälle oder Stürze pro 1.000 Patientenjahre bei unterschiedlich langer Beobachtungsdauer).</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ln(IRR)</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IRR = exp(y)</w:t>
            </w:r>
          </w:p>
        </w:tc>
        <w:tc>
          <w:tcPr>
            <w:tcW w:w="1294" w:type="dxa"/>
            <w:tcMar>
              <w:top w:w="60" w:type="dxa"/>
              <w:left w:w="80" w:type="dxa"/>
              <w:bottom w:w="60" w:type="dxa"/>
              <w:right w:w="80" w:type="dxa"/>
            </w:tcMar>
          </w:tcPr>
          <w:p>
            <w:pPr>
              <w:suppressLineNumbers/>
              <w:spacing w:before="20" w:after="20" w:line="240" w:lineRule="auto"/>
            </w:pPr>
            <w:r>
              <w:rPr>
                <w:sz w:val="18"/>
                <w:szCs w:val="18"/>
              </w:rPr>
              <w:t xml:space="preserve">1,0</w:t>
            </w:r>
          </w:p>
        </w:tc>
      </w:tr>
      <w:tr>
        <w:trPr>
          <w:cantSplit/>
        </w:trPr>
        <w:tc>
          <w:tcPr>
            <w:tcW w:w="1296"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prop_logit</w:t>
            </w:r>
          </w:p>
        </w:tc>
        <w:tc>
          <w:tcPr>
            <w:tcW w:w="1296" w:type="dxa"/>
            <w:tcMar>
              <w:top w:w="60" w:type="dxa"/>
              <w:left w:w="80" w:type="dxa"/>
              <w:bottom w:w="60" w:type="dxa"/>
              <w:right w:w="80" w:type="dxa"/>
            </w:tcMar>
          </w:tcPr>
          <w:p>
            <w:pPr>
              <w:suppressLineNumbers/>
              <w:spacing w:before="20" w:after="20" w:line="240" w:lineRule="auto"/>
            </w:pPr>
            <w:r>
              <w:rPr>
                <w:b/>
                <w:sz w:val="18"/>
                <w:szCs w:val="18"/>
              </w:rPr>
              <w:t xml:space="preserve">Einzelanteil / Prävalenz (Logit)</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Epidemiologie, Einarmige Phase-II-Onkologie</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Zusammenfassung einer einzelnen Rate p = e / n (z. B. Komplikationsrate, Krankheitsprävalenz) ohne Vergleichsgruppe bei moderaten Raten (5–95 %).</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logit(p) = lnp/1-p</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Anteil p = frac11+e^(-y) in (0, 1)</w:t>
            </w:r>
          </w:p>
        </w:tc>
        <w:tc>
          <w:tcPr>
            <w:tcW w:w="1294" w:type="dxa"/>
            <w:tcMar>
              <w:top w:w="60" w:type="dxa"/>
              <w:left w:w="80" w:type="dxa"/>
              <w:bottom w:w="60" w:type="dxa"/>
              <w:right w:w="80" w:type="dxa"/>
            </w:tcMar>
          </w:tcPr>
          <w:p>
            <w:pPr>
              <w:suppressLineNumbers/>
              <w:spacing w:before="20" w:after="20" w:line="240" w:lineRule="auto"/>
            </w:pPr>
            <w:r>
              <w:rPr>
                <w:sz w:val="18"/>
                <w:szCs w:val="18"/>
              </w:rPr>
              <w:t xml:space="preserve">—</w:t>
            </w:r>
          </w:p>
        </w:tc>
      </w:tr>
      <w:tr>
        <w:trPr>
          <w:cantSplit/>
        </w:trPr>
        <w:tc>
          <w:tcPr>
            <w:tcW w:w="1296"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prop_ft</w:t>
            </w:r>
          </w:p>
        </w:tc>
        <w:tc>
          <w:tcPr>
            <w:tcW w:w="1296" w:type="dxa"/>
            <w:tcMar>
              <w:top w:w="60" w:type="dxa"/>
              <w:left w:w="80" w:type="dxa"/>
              <w:bottom w:w="60" w:type="dxa"/>
              <w:right w:w="80" w:type="dxa"/>
            </w:tcMar>
          </w:tcPr>
          <w:p>
            <w:pPr>
              <w:suppressLineNumbers/>
              <w:spacing w:before="20" w:after="20" w:line="240" w:lineRule="auto"/>
            </w:pPr>
            <w:r>
              <w:rPr>
                <w:b/>
                <w:sz w:val="18"/>
                <w:szCs w:val="18"/>
              </w:rPr>
              <w:t xml:space="preserve">Einzelanteil (Freeman-Tukey Doppel-Arkussinus)</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Seltene Komplikationen, Chirurgie, Registerstudien</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Einarmige Raten/Prävalenzen, wenn einzelne Studien </w:t>
            </w:r>
            <w:r>
              <w:rPr>
                <w:b/>
                <w:sz w:val="18"/>
                <w:szCs w:val="18"/>
              </w:rPr>
              <w:t xml:space="preserve">0 % oder 100 % Ereignisse</w:t>
            </w:r>
            <w:r>
              <w:rPr>
                <w:sz w:val="18"/>
                <w:szCs w:val="18"/>
              </w:rPr>
              <w:t xml:space="preserve"> aufweisen — stabilisiert die Varianz ohne künstliche +0,5-Addition.</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Freeman-Tukey t</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Anteil p in [0, 1] (Miller 1978)</w:t>
            </w:r>
          </w:p>
        </w:tc>
        <w:tc>
          <w:tcPr>
            <w:tcW w:w="1294" w:type="dxa"/>
            <w:tcMar>
              <w:top w:w="60" w:type="dxa"/>
              <w:left w:w="80" w:type="dxa"/>
              <w:bottom w:w="60" w:type="dxa"/>
              <w:right w:w="80" w:type="dxa"/>
            </w:tcMar>
          </w:tcPr>
          <w:p>
            <w:pPr>
              <w:suppressLineNumbers/>
              <w:spacing w:before="20" w:after="20" w:line="240" w:lineRule="auto"/>
            </w:pPr>
            <w:r>
              <w:rPr>
                <w:sz w:val="18"/>
                <w:szCs w:val="18"/>
              </w:rPr>
              <w:t xml:space="preserve">—</w:t>
            </w:r>
          </w:p>
        </w:tc>
      </w:tr>
      <w:tr>
        <w:trPr>
          <w:cantSplit/>
        </w:trPr>
        <w:tc>
          <w:tcPr>
            <w:tcW w:w="1296"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hr</w:t>
            </w:r>
          </w:p>
        </w:tc>
        <w:tc>
          <w:tcPr>
            <w:tcW w:w="1296" w:type="dxa"/>
            <w:tcMar>
              <w:top w:w="60" w:type="dxa"/>
              <w:left w:w="80" w:type="dxa"/>
              <w:bottom w:w="60" w:type="dxa"/>
              <w:right w:w="80" w:type="dxa"/>
            </w:tcMar>
          </w:tcPr>
          <w:p>
            <w:pPr>
              <w:suppressLineNumbers/>
              <w:spacing w:before="20" w:after="20" w:line="240" w:lineRule="auto"/>
            </w:pPr>
            <w:r>
              <w:rPr>
                <w:b/>
                <w:sz w:val="18"/>
                <w:szCs w:val="18"/>
              </w:rPr>
              <w:t xml:space="preserve">Hazard Ratio (HR, Zeit bis Ereignis)</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Onkologie, Kardiologie, Nephrologie, Intensivmedizin</w:t>
            </w:r>
          </w:p>
        </w:tc>
        <w:tc>
          <w:tcPr>
            <w:tcW w:w="1296" w:type="dxa"/>
            <w:tcMar>
              <w:top w:w="60" w:type="dxa"/>
              <w:left w:w="80" w:type="dxa"/>
              <w:bottom w:w="60" w:type="dxa"/>
              <w:right w:w="80" w:type="dxa"/>
            </w:tcMar>
          </w:tcPr>
          <w:p>
            <w:pPr>
              <w:suppressLineNumbers/>
              <w:spacing w:before="20" w:after="20" w:line="240" w:lineRule="auto"/>
            </w:pPr>
            <w:r>
              <w:rPr>
                <w:b/>
                <w:sz w:val="18"/>
                <w:szCs w:val="18"/>
              </w:rPr>
              <w:t xml:space="preserve">Überlebenszeitanalysen (Survival)</w:t>
            </w:r>
            <w:r>
              <w:rPr>
                <w:sz w:val="18"/>
                <w:szCs w:val="18"/>
              </w:rPr>
              <w:t xml:space="preserve">: Zeit bis Tod, Progression, Rückfall oder Entlassung unter Berücksichtigung </w:t>
            </w:r>
            <w:r>
              <w:rPr>
                <w:b/>
                <w:sz w:val="18"/>
                <w:szCs w:val="18"/>
              </w:rPr>
              <w:t xml:space="preserve">zensierter Patient:innen</w:t>
            </w:r>
            <w:r>
              <w:rPr>
                <w:sz w:val="18"/>
                <w:szCs w:val="18"/>
              </w:rPr>
              <w:t xml:space="preserve">.</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ln(HR)</w:t>
            </w:r>
          </w:p>
        </w:tc>
        <w:tc>
          <w:tcPr>
            <w:tcW w:w="1296" w:type="dxa"/>
            <w:tcMar>
              <w:top w:w="60" w:type="dxa"/>
              <w:left w:w="80" w:type="dxa"/>
              <w:bottom w:w="60" w:type="dxa"/>
              <w:right w:w="80" w:type="dxa"/>
            </w:tcMar>
          </w:tcPr>
          <w:p>
            <w:pPr>
              <w:suppressLineNumbers/>
              <w:spacing w:before="20" w:after="20" w:line="240" w:lineRule="auto"/>
            </w:pPr>
            <w:r>
              <w:rPr>
                <w:sz w:val="18"/>
                <w:szCs w:val="18"/>
              </w:rPr>
              <w:t xml:space="preserve">HR = exp(y)</w:t>
            </w:r>
          </w:p>
        </w:tc>
        <w:tc>
          <w:tcPr>
            <w:tcW w:w="1294" w:type="dxa"/>
            <w:tcMar>
              <w:top w:w="60" w:type="dxa"/>
              <w:left w:w="80" w:type="dxa"/>
              <w:bottom w:w="60" w:type="dxa"/>
              <w:right w:w="80" w:type="dxa"/>
            </w:tcMar>
          </w:tcPr>
          <w:p>
            <w:pPr>
              <w:suppressLineNumbers/>
              <w:spacing w:before="20" w:after="20" w:line="240" w:lineRule="auto"/>
            </w:pPr>
            <w:r>
              <w:rPr>
                <w:sz w:val="18"/>
                <w:szCs w:val="18"/>
              </w:rPr>
              <w:t xml:space="preserve">1,0</w:t>
            </w:r>
          </w:p>
        </w:tc>
      </w:tr>
    </w:tbl>
    <w:p>
      <w:pPr>
        <w:spacing w:after="0" w:line="240" w:lineRule="auto"/>
      </w:pPr>
    </w:p>
    <w:p>
      <w:pPr>
        <w:pBdr>
          <w:bottom w:val="single" w:sz="6" w:space="1" w:color="B4B4B4"/>
        </w:pBdr>
      </w:pPr>
    </w:p>
    <w:p>
      <w:pPr>
        <w:pStyle w:val="Ueberschrift4"/>
      </w:pPr>
      <w:r>
        <w:t xml:space="preserve">4.1 Kontinuierliche Gruppenvergleiche (</w:t>
      </w:r>
      <w:r>
        <w:rPr>
          <w:rFonts w:ascii="Courier New" w:hAnsi="Courier New" w:cs="Courier New"/>
        </w:rPr>
        <w:t xml:space="preserve">smd</w:t>
      </w:r>
      <w:r>
        <w:t xml:space="preserve"> / Hedges' g und </w:t>
      </w:r>
      <w:r>
        <w:rPr>
          <w:rFonts w:ascii="Courier New" w:hAnsi="Courier New" w:cs="Courier New"/>
        </w:rPr>
        <w:t xml:space="preserve">md</w:t>
      </w:r>
      <w:r>
        <w:t xml:space="preserve">) und ihre 6 Eingabewege</w:t>
      </w:r>
    </w:p>
    <w:p>
      <w:r>
        <w:t xml:space="preserve">Oft berichten Primärstudien nicht brav Mittelwert (M), Standardabweichung (SD) und Gruppengröße (n), sondern nur einen t-Wert, einen F-Wert aus einer einfaktoriellen ANOVA, einen Mittelwertunterschied mit p-Wert oder ein fertig gerechnetes Cohen's d. EvidenzWerk rechnet in </w:t>
      </w:r>
      <w:r>
        <w:rPr>
          <w:rFonts w:ascii="Courier New" w:hAnsi="Courier New" w:cs="Courier New"/>
        </w:rPr>
        <w:t xml:space="preserve">computeEffect</w:t>
      </w:r>
      <w:r>
        <w:t xml:space="preserve"> alle sechs Berichtswege exakt in Hedges' g um:</w:t>
      </w:r>
    </w:p>
    <w:p>
      <w:pPr>
        <w:numPr>
          <w:ilvl w:val="0"/>
          <w:numId w:val="2"/>
        </w:numPr>
      </w:pPr>
      <w:r>
        <w:rPr>
          <w:b/>
        </w:rPr>
        <w:t xml:space="preserve">Rohdaten (M₁, SD₁, n₁ und M₂, SD₂, n₂):</w:t>
      </w:r>
    </w:p>
    <w:p>
      <w:r>
        <w:t xml:space="preserve">s (pooled) = √((n₁ - 1)SD₁² + (n₂ - 1)SD₂²/n₁ + n₂ - 2), d = fracM₁ - M₂s (pooled)</w:t>
      </w:r>
    </w:p>
    <w:p>
      <w:pPr>
        <w:numPr>
          <w:ilvl w:val="0"/>
          <w:numId w:val="2"/>
        </w:numPr>
      </w:pPr>
      <w:r>
        <w:rPr>
          <w:b/>
        </w:rPr>
        <w:t xml:space="preserve">Aus t-Statistik (t, n₁, n₂):</w:t>
      </w:r>
      <w:r>
        <w:t xml:space="preserve"> d = t · √(1/n₁ + 1/n₂)</w:t>
      </w:r>
    </w:p>
    <w:p>
      <w:pPr>
        <w:numPr>
          <w:ilvl w:val="0"/>
          <w:numId w:val="2"/>
        </w:numPr>
      </w:pPr>
      <w:r>
        <w:rPr>
          <w:b/>
        </w:rPr>
        <w:t xml:space="preserve">Aus einfaktoriellem F-Wert (F mit df₁ = 1, n₁, n₂, Wirkrichtung ± 1):</w:t>
      </w:r>
      <w:r>
        <w:t xml:space="preserve"> t = ±√(F), danach wie bei t.</w:t>
      </w:r>
    </w:p>
    <w:p>
      <w:pPr>
        <w:numPr>
          <w:ilvl w:val="0"/>
          <w:numId w:val="2"/>
        </w:numPr>
      </w:pPr>
      <w:r>
        <w:rPr>
          <w:b/>
        </w:rPr>
        <w:t xml:space="preserve">Aus Differenz Δ M und zweiseitigem p-Wert (p, n₁, n₂):</w:t>
      </w:r>
      <w:r>
        <w:t xml:space="preserve"> Bestimmt erst das Quantil t = F (t,df)⁻¹(1 - p/2) über die inverse Student-t-Verteilung (df = n₁ + n₂ - 2), daraus SE = |Δ M| / t und s (pooled).</w:t>
      </w:r>
    </w:p>
    <w:p>
      <w:pPr>
        <w:numPr>
          <w:ilvl w:val="0"/>
          <w:numId w:val="2"/>
        </w:numPr>
      </w:pPr>
      <w:r>
        <w:rPr>
          <w:b/>
        </w:rPr>
        <w:t xml:space="preserve">Aus fertig berichtetem Cohen's d (d, n₁, n₂):</w:t>
      </w:r>
      <w:r>
        <w:t xml:space="preserve"> Übernimmt d und wendet die exakte Kleinstichproben-Korrektur J(df) an.</w:t>
      </w:r>
    </w:p>
    <w:p>
      <w:pPr>
        <w:numPr>
          <w:ilvl w:val="0"/>
          <w:numId w:val="2"/>
        </w:numPr>
      </w:pPr>
      <w:r>
        <w:rPr>
          <w:b/>
        </w:rPr>
        <w:t xml:space="preserve">Direkteingabe (g und SE):</w:t>
      </w:r>
      <w:r>
        <w:t xml:space="preserve"> Falls die Studie bereits Hedges' g samt Standardfehler berichtet.</w:t>
      </w:r>
    </w:p>
    <w:p>
      <w:r>
        <w:rPr>
          <w:b/>
        </w:rPr>
        <w:t xml:space="preserve">Warum immer Hedges' g statt Cohen's d?</w:t>
      </w:r>
      <w:r>
        <w:t xml:space="preserve"> Cohen's d überschätzt in kleinen Stichproben (n &lt; 30) systematisch den wahren Populationseffekt. EvidenzWerk multipliziert d und seine Standardabweichung deshalb mit dem exakten Gamma-Korrekturfaktor nach Hedges (1981): J(df) = fracΓ(df/2)√(df/2) Γ((df-1)/2) ≈ 1 - 3/4cdotdf - 1, g = J(df)· d, v_g = J(df)² · (n₁+n₂/n₁ n₂ + d²/2(n₁+n₂))</w:t>
      </w:r>
    </w:p>
    <w:p>
      <w:pPr>
        <w:pBdr>
          <w:bottom w:val="single" w:sz="6" w:space="1" w:color="B4B4B4"/>
        </w:pBdr>
      </w:pPr>
    </w:p>
    <w:p>
      <w:pPr>
        <w:pStyle w:val="Ueberschrift4"/>
      </w:pPr>
      <w:r>
        <w:t xml:space="preserve">4.2 Studiendesigns: Prä-Post (Within) und Cluster-randomisierte Studien (ICC)</w:t>
      </w:r>
    </w:p>
    <w:p>
      <w:r>
        <w:t xml:space="preserve">Zwei der häufigsten Methodenfehler in publizierten Meta-Analysen entstehen bei </w:t>
      </w:r>
      <w:r>
        <w:rPr>
          <w:b/>
        </w:rPr>
        <w:t xml:space="preserve">Prä-Post-/Crossover-Designs</w:t>
      </w:r>
      <w:r>
        <w:t xml:space="preserve"> und </w:t>
      </w:r>
      <w:r>
        <w:rPr>
          <w:b/>
        </w:rPr>
        <w:t xml:space="preserve">Cluster-randomisierten Studien</w:t>
      </w:r>
      <w:r>
        <w:t xml:space="preserve"> (Cochrane Handbook Kap. 23):</w:t>
      </w:r>
    </w:p>
    <w:p>
      <w:pPr>
        <w:numPr>
          <w:ilvl w:val="0"/>
          <w:numId w:val="2"/>
        </w:numPr>
      </w:pPr>
      <w:r>
        <w:rPr>
          <w:b/>
        </w:rPr>
        <w:t xml:space="preserve">Within-Group / Prä-Post / Crossover (</w:t>
      </w:r>
      <w:r>
        <w:rPr>
          <w:rFonts w:ascii="Courier New" w:hAnsi="Courier New" w:cs="Courier New"/>
        </w:rPr>
        <w:t xml:space="preserve">design = 'within'</w:t>
      </w:r>
      <w:r>
        <w:rPr>
          <w:b/>
        </w:rPr>
        <w:t xml:space="preserve">):</w:t>
      </w:r>
    </w:p>
    <w:p>
      <w:r>
        <w:t xml:space="preserve">Wenn dieselben Personen vor und nach einer Intervention gemessen werden, sind beide Messungen mit r (pre,post) korreliert. Die Varianz von d beträgt nach Borenstein et al. (2009, Gl. 4.28): v_d = (1/n + d²/2n) · 2(1 - r (pre,post)) Ist r (pre,post) im Aufsatz nicht angegeben, hinterlegt EvidenzWerk einen konservativen Imputationswert (Standard r = 0,50) und protokolliert diese Annahme transparent im Statistik-Anhang.</w:t>
      </w:r>
    </w:p>
    <w:p>
      <w:pPr>
        <w:numPr>
          <w:ilvl w:val="0"/>
          <w:numId w:val="2"/>
        </w:numPr>
      </w:pPr>
      <w:r>
        <w:rPr>
          <w:b/>
        </w:rPr>
        <w:t xml:space="preserve">Cluster-randomisierte Studien (</w:t>
      </w:r>
      <w:r>
        <w:rPr>
          <w:rFonts w:ascii="Courier New" w:hAnsi="Courier New" w:cs="Courier New"/>
        </w:rPr>
        <w:t xml:space="preserve">design = 'cluster'</w:t>
      </w:r>
      <w:r>
        <w:rPr>
          <w:b/>
        </w:rPr>
        <w:t xml:space="preserve">, z. B. Schulklassen, Stationen, Arztpraxen):</w:t>
      </w:r>
    </w:p>
    <w:p>
      <w:r>
        <w:t xml:space="preserve">Werden ganze Schulklassen oder Kliniken statt einzelner Personen randomisiert, sind die Individuen innerhalb eines Clusters einander ähnlicher (</w:t>
      </w:r>
      <w:r>
        <w:rPr>
          <w:b/>
        </w:rPr>
        <w:t xml:space="preserve">Intraklassen-Korrelation ICC</w:t>
      </w:r>
      <w:r>
        <w:t xml:space="preserve">). Wer einfach die Schülerzahl N in die Standardformel einsetzt, begeht einen </w:t>
      </w:r>
      <w:r>
        <w:rPr>
          <w:b/>
        </w:rPr>
        <w:t xml:space="preserve">Unit-of-Analysis-Fehler</w:t>
      </w:r>
      <w:r>
        <w:t xml:space="preserve"> und gibt der Studie ein viel zu hohes Gewicht! EvidenzWerk multipliziert die Varianz deshalb automatisch mit dem </w:t>
      </w:r>
      <w:r>
        <w:rPr>
          <w:b/>
        </w:rPr>
        <w:t xml:space="preserve">Design-Effekt (DE)</w:t>
      </w:r>
      <w:r>
        <w:t xml:space="preserve"> nach Higgins et al. (2023): DE = 1 + (barm - 1)cdotICC, v (cluster) = v (individuell) · DE wobei barm die mittlere Clustergröße ist.</w:t>
      </w:r>
    </w:p>
    <w:p>
      <w:pPr>
        <w:pBdr>
          <w:bottom w:val="single" w:sz="6" w:space="1" w:color="B4B4B4"/>
        </w:pBdr>
      </w:pPr>
    </w:p>
    <w:p>
      <w:pPr>
        <w:pStyle w:val="Ueberschrift4"/>
      </w:pPr>
      <w:r>
        <w:t xml:space="preserve">4.3 Klinische Überlebenszeitanalyse: Hazard Ratios (</w:t>
      </w:r>
      <w:r>
        <w:rPr>
          <w:rFonts w:ascii="Courier New" w:hAnsi="Courier New" w:cs="Courier New"/>
        </w:rPr>
        <w:t xml:space="preserve">hr</w:t>
      </w:r>
      <w:r>
        <w:t xml:space="preserve">) &amp; alle 5 Tierney-Wege</w:t>
      </w:r>
    </w:p>
    <w:p>
      <w:pPr>
        <w:jc w:val="center"/>
        <w:spacing w:before="120" w:after="60" w:line="240" w:lineRule="auto"/>
      </w:pPr>
      <w:r>
        <w:drawing>
          <wp:inline distT="0" distB="0" distL="0" distR="0">
            <wp:extent cx="5759450" cy="3671649"/>
            <wp:docPr id="6" name="Abbildung 6"/>
            <wp:cNvGraphicFramePr>
              <a:graphicFrameLocks noChangeAspect="1"/>
            </wp:cNvGraphicFramePr>
            <a:graphic>
              <a:graphicData uri="http://schemas.openxmlformats.org/drawingml/2006/picture">
                <pic:pic>
                  <pic:nvPicPr>
                    <pic:cNvPr id="6" name="image6.png"/>
                    <pic:cNvPicPr/>
                  </pic:nvPicPr>
                  <pic:blipFill>
                    <a:blip r:embed="rIdBild6"/>
                    <a:stretch>
                      <a:fillRect/>
                    </a:stretch>
                  </pic:blipFill>
                  <pic:spPr>
                    <a:xfrm>
                      <a:off x="0" y="0"/>
                      <a:ext cx="5759450" cy="3671649"/>
                    </a:xfrm>
                    <a:prstGeom prst="rect">
                      <a:avLst/>
                    </a:prstGeom>
                  </pic:spPr>
                </pic:pic>
              </a:graphicData>
            </a:graphic>
          </wp:inline>
        </w:drawing>
      </w:r>
    </w:p>
    <w:p>
      <w:r>
        <w:rPr>
          <w:b/>
          <w:sz w:val="18"/>
          <w:szCs w:val="18"/>
        </w:rPr>
        <w:t xml:space="preserve">Abbildung 6: </w:t>
      </w:r>
      <w:r>
        <w:rPr>
          <w:i/>
          <w:sz w:val="18"/>
          <w:szCs w:val="18"/>
        </w:rPr>
        <w:t xml:space="preserve">Codierung Survival &amp; Kaplan-Meier-Rekonstruktion (06-codierung-survival-tierney-km.png)</w:t>
      </w:r>
    </w:p>
    <w:p>
      <w:r>
        <w:t xml:space="preserve">In der Onkologie, Kardiologie und Transplantationsmedizin ist das zentrale Maß nicht der Anteil Überlebender zu einem willkürlichen Stichtag, sondern das </w:t>
      </w:r>
      <w:r>
        <w:rPr>
          <w:b/>
        </w:rPr>
        <w:t xml:space="preserve">Hazard Ratio (HR)</w:t>
      </w:r>
      <w:r>
        <w:t xml:space="preserve"> über den gesamten Beobachtungsverlauf (z. B. </w:t>
      </w:r>
      <w:r>
        <w:rPr>
          <w:i/>
        </w:rPr>
        <w:t xml:space="preserve">Progressionsfreies Überleben, PFS</w:t>
      </w:r>
      <w:r>
        <w:t xml:space="preserve"> oder </w:t>
      </w:r>
      <w:r>
        <w:rPr>
          <w:i/>
        </w:rPr>
        <w:t xml:space="preserve">Gesamtüberleben, OS</w:t>
      </w:r>
      <w:r>
        <w:t xml:space="preserve">).</w:t>
      </w:r>
    </w:p>
    <w:p>
      <w:pPr>
        <w:numPr>
          <w:ilvl w:val="0"/>
          <w:numId w:val="1"/>
        </w:numPr>
      </w:pPr>
      <w:r>
        <w:rPr>
          <w:b/>
        </w:rPr>
        <w:t xml:space="preserve">Interpretation:</w:t>
      </w:r>
      <w:r>
        <w:t xml:space="preserve"> Ein HR = 0,52 [0,43; 0,64] (wie bei </w:t>
      </w:r>
      <w:r>
        <w:rPr>
          <w:i/>
        </w:rPr>
        <w:t xml:space="preserve">Gandhi et al. / KEYNOTE-189</w:t>
      </w:r>
      <w:r>
        <w:t xml:space="preserve"> in unserem Onkologie-Showcase) bedeutet: Zu jedem Zeitpunkt ist das momentane Risiko für Tod oder Tumorprogression unter Pembrolizumab + Platin-Chemotherapie um </w:t>
      </w:r>
      <w:r>
        <w:rPr>
          <w:b/>
        </w:rPr>
        <w:t xml:space="preserve">48 % niedriger</w:t>
      </w:r>
      <w:r>
        <w:t xml:space="preserve"> als unter alleiniger Chemotherapie. HR = 1,0 bedeutet keinen Unterschied; HR &lt; 1,0 begünstigt die Intervention (sofern das Ereignis Tod/Progression unerwünscht ist).</w:t>
      </w:r>
    </w:p>
    <w:p>
      <w:r>
        <w:t xml:space="preserve">Weil ältere oder chirurgisch-klinische Originalarbeiten das Hazard Ratio oft nicht direkt mit Konfidenzintervall angeben, implementiert </w:t>
      </w:r>
      <w:r>
        <w:rPr>
          <w:rFonts w:ascii="Courier New" w:hAnsi="Courier New" w:cs="Courier New"/>
        </w:rPr>
        <w:t xml:space="preserve">lib/survival.ts</w:t>
      </w:r>
      <w:r>
        <w:t xml:space="preserve"> </w:t>
      </w:r>
      <w:r>
        <w:rPr>
          <w:b/>
        </w:rPr>
        <w:t xml:space="preserve">alle fünf kanonischen Herleitungswege nach Tierney et al. (2007, </w:t>
      </w:r>
      <w:r>
        <w:rPr>
          <w:b/>
          <w:i/>
        </w:rPr>
        <w:t xml:space="preserve">Trials</w:t>
      </w:r>
      <w:r>
        <w:rPr>
          <w:b/>
        </w:rPr>
        <w:t xml:space="preserve"> 8:16)</w:t>
      </w:r>
      <w:r>
        <w:t xml:space="preserve"> und Parmar et al. (1998, </w:t>
      </w:r>
      <w:r>
        <w:rPr>
          <w:i/>
        </w:rPr>
        <w:t xml:space="preserve">Stat Med</w:t>
      </w:r>
      <w:r>
        <w:t xml:space="preserve"> 17:2815), geordnet nach ihrer statistischen Zuverlässigkeit:</w:t>
      </w:r>
    </w:p>
    <w:tbl>
      <w:tblPr>
        <w:tblW w:w="9070" w:type="dxa"/>
        <w:tblLayout w:type="fixed"/>
        <w:tblBorders>
          <w:top w:val="single" w:sz="4" w:space="0" w:color="B4B4B4"/>
          <w:left w:val="single" w:sz="4" w:space="0" w:color="B4B4B4"/>
          <w:bottom w:val="single" w:sz="4" w:space="0" w:color="B4B4B4"/>
          <w:right w:val="single" w:sz="4" w:space="0" w:color="B4B4B4"/>
          <w:insideH w:val="single" w:sz="4" w:space="0" w:color="B4B4B4"/>
          <w:insideV w:val="single" w:sz="4" w:space="0" w:color="B4B4B4"/>
        </w:tblBorders>
      </w:tblPr>
      <w:tblGrid>
        <w:gridCol w:w="2268"/>
        <w:gridCol w:w="2268"/>
        <w:gridCol w:w="2268"/>
        <w:gridCol w:w="2266"/>
      </w:tblGrid>
      <w:tr>
        <w:trPr>
          <w:tblHeader/>
          <w:cantSplit/>
        </w:trPr>
        <w:tc>
          <w:tcPr>
            <w:tcW w:w="2268"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Tierney-Weg</w:t>
            </w:r>
          </w:p>
        </w:tc>
        <w:tc>
          <w:tcPr>
            <w:tcW w:w="2268"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Schlüssel (</w:t>
            </w:r>
            <w:r>
              <w:rPr>
                <w:b/>
                <w:rFonts w:ascii="Courier New" w:hAnsi="Courier New" w:cs="Courier New"/>
                <w:sz w:val="18"/>
                <w:szCs w:val="18"/>
              </w:rPr>
              <w:t xml:space="preserve">hrSource</w:t>
            </w:r>
            <w:r>
              <w:rPr>
                <w:b/>
                <w:sz w:val="18"/>
                <w:szCs w:val="18"/>
              </w:rPr>
              <w:t xml:space="preserve">)</w:t>
            </w:r>
          </w:p>
        </w:tc>
        <w:tc>
          <w:tcPr>
            <w:tcW w:w="2268"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Was steht im klinischen Aufsatz?</w:t>
            </w:r>
          </w:p>
        </w:tc>
        <w:tc>
          <w:tcPr>
            <w:tcW w:w="2266"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Mathematische Herleitung in </w:t>
            </w:r>
            <w:r>
              <w:rPr>
                <w:b/>
                <w:rFonts w:ascii="Courier New" w:hAnsi="Courier New" w:cs="Courier New"/>
                <w:sz w:val="18"/>
                <w:szCs w:val="18"/>
              </w:rPr>
              <w:t xml:space="preserve">lib/survival.ts</w:t>
            </w:r>
          </w:p>
        </w:tc>
      </w:tr>
      <w:tr>
        <w:trPr>
          <w:cantSplit/>
        </w:trPr>
        <w:tc>
          <w:tcPr>
            <w:tcW w:w="2268" w:type="dxa"/>
            <w:tcMar>
              <w:top w:w="60" w:type="dxa"/>
              <w:left w:w="80" w:type="dxa"/>
              <w:bottom w:w="60" w:type="dxa"/>
              <w:right w:w="80" w:type="dxa"/>
            </w:tcMar>
          </w:tcPr>
          <w:p>
            <w:pPr>
              <w:suppressLineNumbers/>
              <w:spacing w:before="20" w:after="20" w:line="240" w:lineRule="auto"/>
            </w:pPr>
            <w:r>
              <w:rPr>
                <w:b/>
                <w:sz w:val="18"/>
                <w:szCs w:val="18"/>
              </w:rPr>
              <w:t xml:space="preserve">Weg 1 (Beste Quelle)</w:t>
            </w:r>
          </w:p>
        </w:tc>
        <w:tc>
          <w:tcPr>
            <w:tcW w:w="2268"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hr_ci</w:t>
            </w:r>
          </w:p>
        </w:tc>
        <w:tc>
          <w:tcPr>
            <w:tcW w:w="2268" w:type="dxa"/>
            <w:tcMar>
              <w:top w:w="60" w:type="dxa"/>
              <w:left w:w="80" w:type="dxa"/>
              <w:bottom w:w="60" w:type="dxa"/>
              <w:right w:w="80" w:type="dxa"/>
            </w:tcMar>
          </w:tcPr>
          <w:p>
            <w:pPr>
              <w:suppressLineNumbers/>
              <w:spacing w:before="20" w:after="20" w:line="240" w:lineRule="auto"/>
            </w:pPr>
            <w:r>
              <w:rPr>
                <w:sz w:val="18"/>
                <w:szCs w:val="18"/>
              </w:rPr>
              <w:t xml:space="preserve">Berichtetes Hazard Ratio + 95-%-Konfidenzintervall (z. B. </w:t>
            </w:r>
            <w:r>
              <w:rPr>
                <w:rFonts w:ascii="Courier New" w:hAnsi="Courier New" w:cs="Courier New"/>
                <w:sz w:val="18"/>
                <w:szCs w:val="18"/>
              </w:rPr>
              <w:t xml:space="preserve">HR = 0,52; 95% CI 0,43–0,64</w:t>
            </w:r>
            <w:r>
              <w:rPr>
                <w:sz w:val="18"/>
                <w:szCs w:val="18"/>
              </w:rPr>
              <w:t xml:space="preserve">)</w:t>
            </w:r>
          </w:p>
        </w:tc>
        <w:tc>
          <w:tcPr>
            <w:tcW w:w="2266" w:type="dxa"/>
            <w:tcMar>
              <w:top w:w="60" w:type="dxa"/>
              <w:left w:w="80" w:type="dxa"/>
              <w:bottom w:w="60" w:type="dxa"/>
              <w:right w:w="80" w:type="dxa"/>
            </w:tcMar>
          </w:tcPr>
          <w:p>
            <w:pPr>
              <w:suppressLineNumbers/>
              <w:spacing w:before="20" w:after="20" w:line="240" w:lineRule="auto"/>
            </w:pPr>
            <w:r>
              <w:rPr>
                <w:sz w:val="18"/>
                <w:szCs w:val="18"/>
              </w:rPr>
              <w:t xml:space="preserve">y = ln(HR), SE = fracln(HR (hi)) - ln(HR (lo))2 · z (0,975) (prüft zudem automatisch, ob HR symmetrisch auf der ln-Skala in [lo, hi] liegt).</w:t>
            </w:r>
          </w:p>
        </w:tc>
      </w:tr>
      <w:tr>
        <w:trPr>
          <w:cantSplit/>
        </w:trPr>
        <w:tc>
          <w:tcPr>
            <w:tcW w:w="2268" w:type="dxa"/>
            <w:tcMar>
              <w:top w:w="60" w:type="dxa"/>
              <w:left w:w="80" w:type="dxa"/>
              <w:bottom w:w="60" w:type="dxa"/>
              <w:right w:w="80" w:type="dxa"/>
            </w:tcMar>
          </w:tcPr>
          <w:p>
            <w:pPr>
              <w:suppressLineNumbers/>
              <w:spacing w:before="20" w:after="20" w:line="240" w:lineRule="auto"/>
            </w:pPr>
            <w:r>
              <w:rPr>
                <w:b/>
                <w:sz w:val="18"/>
                <w:szCs w:val="18"/>
              </w:rPr>
              <w:t xml:space="preserve">Weg 2 (Exakt)</w:t>
            </w:r>
          </w:p>
        </w:tc>
        <w:tc>
          <w:tcPr>
            <w:tcW w:w="2268"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peto</w:t>
            </w:r>
          </w:p>
        </w:tc>
        <w:tc>
          <w:tcPr>
            <w:tcW w:w="2268" w:type="dxa"/>
            <w:tcMar>
              <w:top w:w="60" w:type="dxa"/>
              <w:left w:w="80" w:type="dxa"/>
              <w:bottom w:w="60" w:type="dxa"/>
              <w:right w:w="80" w:type="dxa"/>
            </w:tcMar>
          </w:tcPr>
          <w:p>
            <w:pPr>
              <w:suppressLineNumbers/>
              <w:spacing w:before="20" w:after="20" w:line="240" w:lineRule="auto"/>
            </w:pPr>
            <w:r>
              <w:rPr>
                <w:sz w:val="18"/>
                <w:szCs w:val="18"/>
              </w:rPr>
              <w:t xml:space="preserve">Differenz beobachteter minus erwarteter Ereignisse ($O - E$) und Log-Rank-Varianz V</w:t>
            </w:r>
          </w:p>
        </w:tc>
        <w:tc>
          <w:tcPr>
            <w:tcW w:w="2266" w:type="dxa"/>
            <w:tcMar>
              <w:top w:w="60" w:type="dxa"/>
              <w:left w:w="80" w:type="dxa"/>
              <w:bottom w:w="60" w:type="dxa"/>
              <w:right w:w="80" w:type="dxa"/>
            </w:tcMar>
          </w:tcPr>
          <w:p>
            <w:pPr>
              <w:suppressLineNumbers/>
              <w:spacing w:before="20" w:after="20" w:line="240" w:lineRule="auto"/>
            </w:pPr>
            <w:r>
              <w:rPr>
                <w:sz w:val="18"/>
                <w:szCs w:val="18"/>
              </w:rPr>
              <w:t xml:space="preserve">Nach Yusuf et al. (1985): y = ln(HR) = O - E/V, v = 1/V, SE = frac1√(V)</w:t>
            </w:r>
          </w:p>
        </w:tc>
      </w:tr>
      <w:tr>
        <w:trPr>
          <w:cantSplit/>
        </w:trPr>
        <w:tc>
          <w:tcPr>
            <w:tcW w:w="2268" w:type="dxa"/>
            <w:tcMar>
              <w:top w:w="60" w:type="dxa"/>
              <w:left w:w="80" w:type="dxa"/>
              <w:bottom w:w="60" w:type="dxa"/>
              <w:right w:w="80" w:type="dxa"/>
            </w:tcMar>
          </w:tcPr>
          <w:p>
            <w:pPr>
              <w:suppressLineNumbers/>
              <w:spacing w:before="20" w:after="20" w:line="240" w:lineRule="auto"/>
            </w:pPr>
            <w:r>
              <w:rPr>
                <w:b/>
                <w:sz w:val="18"/>
                <w:szCs w:val="18"/>
              </w:rPr>
              <w:t xml:space="preserve">Weg 3 (Sehr gut)</w:t>
            </w:r>
          </w:p>
        </w:tc>
        <w:tc>
          <w:tcPr>
            <w:tcW w:w="2268"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logrank_p</w:t>
            </w:r>
          </w:p>
        </w:tc>
        <w:tc>
          <w:tcPr>
            <w:tcW w:w="2268" w:type="dxa"/>
            <w:tcMar>
              <w:top w:w="60" w:type="dxa"/>
              <w:left w:w="80" w:type="dxa"/>
              <w:bottom w:w="60" w:type="dxa"/>
              <w:right w:w="80" w:type="dxa"/>
            </w:tcMar>
          </w:tcPr>
          <w:p>
            <w:pPr>
              <w:suppressLineNumbers/>
              <w:spacing w:before="20" w:after="20" w:line="240" w:lineRule="auto"/>
            </w:pPr>
            <w:r>
              <w:rPr>
                <w:sz w:val="18"/>
                <w:szCs w:val="18"/>
              </w:rPr>
              <w:t xml:space="preserve">Zweiseitiger p-Wert des Log-Rank-Tests, Gesamtzahl der Ereignisse E, Gruppengrößen n₁, n₂ sowie Richtung (welcher Arm überlebte länger?)</w:t>
            </w:r>
          </w:p>
        </w:tc>
        <w:tc>
          <w:tcPr>
            <w:tcW w:w="2266" w:type="dxa"/>
            <w:tcMar>
              <w:top w:w="60" w:type="dxa"/>
              <w:left w:w="80" w:type="dxa"/>
              <w:bottom w:w="60" w:type="dxa"/>
              <w:right w:w="80" w:type="dxa"/>
            </w:tcMar>
          </w:tcPr>
          <w:p>
            <w:pPr>
              <w:suppressLineNumbers/>
              <w:spacing w:before="20" w:after="20" w:line="240" w:lineRule="auto"/>
            </w:pPr>
            <w:r>
              <w:rPr>
                <w:sz w:val="18"/>
                <w:szCs w:val="18"/>
              </w:rPr>
              <w:t xml:space="preserve">Aus p folgt die Standardnormalgröße z = ±Φ⁻¹(1 - p/2). Mit dem Allokationsverhältnis R = n₂ / n₁ ist die Informationsvarianz V = E · R/(1 + R)² und O - E = z · √(V), woraus ln(HR) = O - E/V folgt (Tierney Gl. 7–9).</w:t>
            </w:r>
          </w:p>
        </w:tc>
      </w:tr>
      <w:tr>
        <w:trPr>
          <w:cantSplit/>
        </w:trPr>
        <w:tc>
          <w:tcPr>
            <w:tcW w:w="2268" w:type="dxa"/>
            <w:tcMar>
              <w:top w:w="60" w:type="dxa"/>
              <w:left w:w="80" w:type="dxa"/>
              <w:bottom w:w="60" w:type="dxa"/>
              <w:right w:w="80" w:type="dxa"/>
            </w:tcMar>
          </w:tcPr>
          <w:p>
            <w:pPr>
              <w:suppressLineNumbers/>
              <w:spacing w:before="20" w:after="20" w:line="240" w:lineRule="auto"/>
            </w:pPr>
            <w:r>
              <w:rPr>
                <w:b/>
                <w:sz w:val="18"/>
                <w:szCs w:val="18"/>
              </w:rPr>
              <w:t xml:space="preserve">Weg 4 (Rekonstruktion)</w:t>
            </w:r>
          </w:p>
        </w:tc>
        <w:tc>
          <w:tcPr>
            <w:tcW w:w="2268"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km_kurve</w:t>
            </w:r>
          </w:p>
        </w:tc>
        <w:tc>
          <w:tcPr>
            <w:tcW w:w="2268" w:type="dxa"/>
            <w:tcMar>
              <w:top w:w="60" w:type="dxa"/>
              <w:left w:w="80" w:type="dxa"/>
              <w:bottom w:w="60" w:type="dxa"/>
              <w:right w:w="80" w:type="dxa"/>
            </w:tcMar>
          </w:tcPr>
          <w:p>
            <w:pPr>
              <w:suppressLineNumbers/>
              <w:spacing w:before="20" w:after="20" w:line="240" w:lineRule="auto"/>
            </w:pPr>
            <w:r>
              <w:rPr>
                <w:b/>
                <w:sz w:val="18"/>
                <w:szCs w:val="18"/>
              </w:rPr>
              <w:t xml:space="preserve">Nur die gedruckte Kaplan-Meier-Überlebenskurve</w:t>
            </w:r>
            <w:r>
              <w:rPr>
                <w:sz w:val="18"/>
                <w:szCs w:val="18"/>
              </w:rPr>
              <w:t xml:space="preserve"> und die Zeile </w:t>
            </w:r>
            <w:r>
              <w:rPr>
                <w:i/>
                <w:sz w:val="18"/>
                <w:szCs w:val="18"/>
              </w:rPr>
              <w:t xml:space="preserve">„Number at risk“</w:t>
            </w:r>
            <w:r>
              <w:rPr>
                <w:sz w:val="18"/>
                <w:szCs w:val="18"/>
              </w:rPr>
              <w:t xml:space="preserve"> unter der Zeitachse</w:t>
            </w:r>
          </w:p>
        </w:tc>
        <w:tc>
          <w:tcPr>
            <w:tcW w:w="2266" w:type="dxa"/>
            <w:tcMar>
              <w:top w:w="60" w:type="dxa"/>
              <w:left w:w="80" w:type="dxa"/>
              <w:bottom w:w="60" w:type="dxa"/>
              <w:right w:w="80" w:type="dxa"/>
            </w:tcMar>
          </w:tcPr>
          <w:p>
            <w:pPr>
              <w:suppressLineNumbers/>
              <w:spacing w:before="20" w:after="20" w:line="240" w:lineRule="auto"/>
            </w:pPr>
            <w:r>
              <w:rPr>
                <w:sz w:val="18"/>
                <w:szCs w:val="18"/>
              </w:rPr>
              <w:t xml:space="preserve">Aus mindestens zwei Zeitpunkten t₀ &lt; t₁ &lt; … &lt; t_m mit den abgelesenen Überlebensanteilen S₁(t_j), S₂(t_j) in (0, 1] und den Zahlen unter Risiko rekonstruiert EvidenzWerk für jedes Intervall [t (j-1), t_j] die effektive Risikomenge, die bedingten Ereigniszahlen O (k,j) und die Intervall-Log-Rank-Größen (O_j - E_j) und V_j nach </w:t>
            </w:r>
            <w:r>
              <w:rPr>
                <w:b/>
                <w:sz w:val="18"/>
                <w:szCs w:val="18"/>
              </w:rPr>
              <w:t xml:space="preserve">Tierney et al. (2007, Gleichungen 10–13)</w:t>
            </w:r>
            <w:r>
              <w:rPr>
                <w:sz w:val="18"/>
                <w:szCs w:val="18"/>
              </w:rPr>
              <w:t xml:space="preserve"> und summiert sie über alle Intervalle zu ln(HR) = Σ (O_j - E_j)/Σ V_j.</w:t>
            </w:r>
          </w:p>
        </w:tc>
      </w:tr>
      <w:tr>
        <w:trPr>
          <w:cantSplit/>
        </w:trPr>
        <w:tc>
          <w:tcPr>
            <w:tcW w:w="2268" w:type="dxa"/>
            <w:tcMar>
              <w:top w:w="60" w:type="dxa"/>
              <w:left w:w="80" w:type="dxa"/>
              <w:bottom w:w="60" w:type="dxa"/>
              <w:right w:w="80" w:type="dxa"/>
            </w:tcMar>
          </w:tcPr>
          <w:p>
            <w:pPr>
              <w:suppressLineNumbers/>
              <w:spacing w:before="20" w:after="20" w:line="240" w:lineRule="auto"/>
            </w:pPr>
            <w:r>
              <w:rPr>
                <w:b/>
                <w:sz w:val="18"/>
                <w:szCs w:val="18"/>
              </w:rPr>
              <w:t xml:space="preserve">Weg 5 (Näherung)</w:t>
            </w:r>
          </w:p>
        </w:tc>
        <w:tc>
          <w:tcPr>
            <w:tcW w:w="2268"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medians</w:t>
            </w:r>
          </w:p>
        </w:tc>
        <w:tc>
          <w:tcPr>
            <w:tcW w:w="2268" w:type="dxa"/>
            <w:tcMar>
              <w:top w:w="60" w:type="dxa"/>
              <w:left w:w="80" w:type="dxa"/>
              <w:bottom w:w="60" w:type="dxa"/>
              <w:right w:w="80" w:type="dxa"/>
            </w:tcMar>
          </w:tcPr>
          <w:p>
            <w:pPr>
              <w:suppressLineNumbers/>
              <w:spacing w:before="20" w:after="20" w:line="240" w:lineRule="auto"/>
            </w:pPr>
            <w:r>
              <w:rPr>
                <w:sz w:val="18"/>
                <w:szCs w:val="18"/>
              </w:rPr>
              <w:t xml:space="preserve">Nur die </w:t>
            </w:r>
            <w:r>
              <w:rPr>
                <w:b/>
                <w:sz w:val="18"/>
                <w:szCs w:val="18"/>
              </w:rPr>
              <w:t xml:space="preserve">medianen Überlebenszeiten</w:t>
            </w:r>
            <w:r>
              <w:rPr>
                <w:sz w:val="18"/>
                <w:szCs w:val="18"/>
              </w:rPr>
              <w:t xml:space="preserve"> beider Arme (m (Interv.), m (Kontr.)) und die Ereigniszahl E</w:t>
            </w:r>
          </w:p>
        </w:tc>
        <w:tc>
          <w:tcPr>
            <w:tcW w:w="2266" w:type="dxa"/>
            <w:tcMar>
              <w:top w:w="60" w:type="dxa"/>
              <w:left w:w="80" w:type="dxa"/>
              <w:bottom w:w="60" w:type="dxa"/>
              <w:right w:w="80" w:type="dxa"/>
            </w:tcMar>
          </w:tcPr>
          <w:p>
            <w:pPr>
              <w:suppressLineNumbers/>
              <w:spacing w:before="20" w:after="20" w:line="240" w:lineRule="auto"/>
            </w:pPr>
            <w:r>
              <w:rPr>
                <w:sz w:val="18"/>
                <w:szCs w:val="18"/>
              </w:rPr>
              <w:t xml:space="preserve">Unter Annahme konstanter Hazards (Exponentialverteilung) gilt HR ≈ fracm (Kontr.)m (Interv.) mit SE(lnHR) ≈ √((n₁+n₂)²/E · n₁ n₂). EvidenzWerk versieht diesen Weg im Statistik-Anhang automatisch mit einem Methoden-Warnhinweis.</w:t>
            </w:r>
          </w:p>
        </w:tc>
      </w:tr>
    </w:tbl>
    <w:p>
      <w:pPr>
        <w:spacing w:after="0" w:line="240" w:lineRule="auto"/>
      </w:pPr>
    </w:p>
    <w:p>
      <w:pPr>
        <w:pBdr>
          <w:bottom w:val="single" w:sz="6" w:space="1" w:color="B4B4B4"/>
        </w:pBdr>
      </w:pPr>
    </w:p>
    <w:p>
      <w:pPr>
        <w:pStyle w:val="Ueberschrift4"/>
      </w:pPr>
      <w:r>
        <w:t xml:space="preserve">4.4 Binäre Endpunkte (</w:t>
      </w:r>
      <w:r>
        <w:rPr>
          <w:rFonts w:ascii="Courier New" w:hAnsi="Courier New" w:cs="Courier New"/>
        </w:rPr>
        <w:t xml:space="preserve">or</w:t>
      </w:r>
      <w:r>
        <w:t xml:space="preserve">, </w:t>
      </w:r>
      <w:r>
        <w:rPr>
          <w:rFonts w:ascii="Courier New" w:hAnsi="Courier New" w:cs="Courier New"/>
        </w:rPr>
        <w:t xml:space="preserve">rr</w:t>
      </w:r>
      <w:r>
        <w:t xml:space="preserve">, </w:t>
      </w:r>
      <w:r>
        <w:rPr>
          <w:rFonts w:ascii="Courier New" w:hAnsi="Courier New" w:cs="Courier New"/>
        </w:rPr>
        <w:t xml:space="preserve">rd</w:t>
      </w:r>
      <w:r>
        <w:t xml:space="preserve"> + Altman-NNT), Ereignisraten (</w:t>
      </w:r>
      <w:r>
        <w:rPr>
          <w:rFonts w:ascii="Courier New" w:hAnsi="Courier New" w:cs="Courier New"/>
        </w:rPr>
        <w:t xml:space="preserve">irr</w:t>
      </w:r>
      <w:r>
        <w:t xml:space="preserve">) und Prävalenzen (</w:t>
      </w:r>
      <w:r>
        <w:rPr>
          <w:rFonts w:ascii="Courier New" w:hAnsi="Courier New" w:cs="Courier New"/>
        </w:rPr>
        <w:t xml:space="preserve">prop_logit</w:t>
      </w:r>
      <w:r>
        <w:t xml:space="preserve">, </w:t>
      </w:r>
      <w:r>
        <w:rPr>
          <w:rFonts w:ascii="Courier New" w:hAnsi="Courier New" w:cs="Courier New"/>
        </w:rPr>
        <w:t xml:space="preserve">prop_ft</w:t>
      </w:r>
      <w:r>
        <w:t xml:space="preserve">)</w:t>
      </w:r>
    </w:p>
    <w:p>
      <w:pPr>
        <w:numPr>
          <w:ilvl w:val="0"/>
          <w:numId w:val="1"/>
        </w:numPr>
      </w:pPr>
      <w:r>
        <w:rPr>
          <w:b/>
        </w:rPr>
        <w:t xml:space="preserve">Vierfeldertafel (a, n₁, c, n₂) und Sweeting-Nullzellenkorrektur:</w:t>
      </w:r>
    </w:p>
    <w:p>
      <w:r>
        <w:t xml:space="preserve">Tritt in einem Studienarm kein einziges Ereignis auf (a = 0 oder c = 0), wäre ln(OR) oder ln(RR) wegen Division durch Null nicht definiert. Statt pauschal 0,5 auf jede Zelle zu addieren (was bei ungleich großen Gruppen n₁ ≠ n₂ einen künstlichen Bias erzeugt!), verwendet EvidenzWerk die </w:t>
      </w:r>
      <w:r>
        <w:rPr>
          <w:b/>
        </w:rPr>
        <w:t xml:space="preserve">gruppenproportionale Kontinuitätskorrektur nach Sweeting, Sutton &amp; Lambert (2004, </w:t>
      </w:r>
      <w:r>
        <w:rPr>
          <w:b/>
          <w:i/>
        </w:rPr>
        <w:t xml:space="preserve">Stat Med</w:t>
      </w:r>
      <w:r>
        <w:rPr>
          <w:b/>
        </w:rPr>
        <w:t xml:space="preserve"> 23:1351)</w:t>
      </w:r>
      <w:r>
        <w:t xml:space="preserve">: δ₁ = n₁/n₁ + n₂, δ₂ = n₂/n₁ + n₂</w:t>
      </w:r>
    </w:p>
    <w:p>
      <w:pPr>
        <w:numPr>
          <w:ilvl w:val="0"/>
          <w:numId w:val="1"/>
        </w:numPr>
      </w:pPr>
      <w:r>
        <w:rPr>
          <w:b/>
        </w:rPr>
        <w:t xml:space="preserve">Number Needed to Treat (NNT) nach Altman (1998, </w:t>
      </w:r>
      <w:r>
        <w:rPr>
          <w:b/>
          <w:i/>
        </w:rPr>
        <w:t xml:space="preserve">BMJ</w:t>
      </w:r>
      <w:r>
        <w:rPr>
          <w:b/>
        </w:rPr>
        <w:t xml:space="preserve"> 317:1309):</w:t>
      </w:r>
    </w:p>
    <w:p>
      <w:r>
        <w:t xml:space="preserve">Bei der </w:t>
      </w:r>
      <w:r>
        <w:rPr>
          <w:b/>
        </w:rPr>
        <w:t xml:space="preserve">Risikodifferenz (</w:t>
      </w:r>
      <w:r>
        <w:rPr>
          <w:rFonts w:ascii="Courier New" w:hAnsi="Courier New" w:cs="Courier New"/>
        </w:rPr>
        <w:t xml:space="preserve">rd</w:t>
      </w:r>
      <w:r>
        <w:rPr>
          <w:b/>
        </w:rPr>
        <w:t xml:space="preserve">)</w:t>
      </w:r>
      <w:r>
        <w:t xml:space="preserve"> berechnet EvidenzWerk automatisch die klinisch anschauliche </w:t>
      </w:r>
      <w:r>
        <w:rPr>
          <w:b/>
        </w:rPr>
        <w:t xml:space="preserve">Number Needed to Treat</w:t>
      </w:r>
      <w:r>
        <w:t xml:space="preserve">:</w:t>
      </w:r>
    </w:p>
    <w:p>
      <w:pPr>
        <w:numPr>
          <w:ilvl w:val="0"/>
          <w:numId w:val="1"/>
        </w:numPr>
      </w:pPr>
      <w:r>
        <w:t xml:space="preserve">Schließt das 95-%-Konfidenzintervall der Risikodifferenz die $0$ aus, wird NNTB (</w:t>
      </w:r>
      <w:r>
        <w:rPr>
          <w:i/>
        </w:rPr>
        <w:t xml:space="preserve">Number Needed to Treat for an additional Beneficial outcome</w:t>
      </w:r>
      <w:r>
        <w:t xml:space="preserve">) bzw. NNTH (</w:t>
      </w:r>
      <w:r>
        <w:rPr>
          <w:i/>
        </w:rPr>
        <w:t xml:space="preserve">Harm</w:t>
      </w:r>
      <w:r>
        <w:t xml:space="preserve">) mit sauberem Intervall ausgegeben.</w:t>
      </w:r>
    </w:p>
    <w:p>
      <w:pPr>
        <w:numPr>
          <w:ilvl w:val="0"/>
          <w:numId w:val="1"/>
        </w:numPr>
      </w:pPr>
      <w:r>
        <w:t xml:space="preserve">Überschreitet das Konfidenzintervall die $0$ (nicht signifikant), geht das Intervall der NNT mathematisch über ∞! Viele Programme geben hier fälschlich unsinnige Zahlen wie „NNT 12 bis $-25$“ aus; EvidenzWerk formatiert dies streng nach </w:t>
      </w:r>
      <w:r>
        <w:rPr>
          <w:b/>
        </w:rPr>
        <w:t xml:space="preserve">Altman (1998)</w:t>
      </w:r>
      <w:r>
        <w:t xml:space="preserve"> korrekt über ∞ (</w:t>
      </w:r>
      <w:r>
        <w:rPr>
          <w:i/>
        </w:rPr>
        <w:t xml:space="preserve">„NNTB 12 über ∞ bis NNTH 25“</w:t>
      </w:r>
      <w:r>
        <w:t xml:space="preserve">).</w:t>
      </w:r>
    </w:p>
    <w:p>
      <w:pPr>
        <w:numPr>
          <w:ilvl w:val="0"/>
          <w:numId w:val="1"/>
        </w:numPr>
      </w:pPr>
      <w:r>
        <w:rPr>
          <w:b/>
        </w:rPr>
        <w:t xml:space="preserve">Freeman-Tukey-Doppel-Arkussinus (</w:t>
      </w:r>
      <w:r>
        <w:rPr>
          <w:rFonts w:ascii="Courier New" w:hAnsi="Courier New" w:cs="Courier New"/>
        </w:rPr>
        <w:t xml:space="preserve">prop_ft</w:t>
      </w:r>
      <w:r>
        <w:rPr>
          <w:b/>
        </w:rPr>
        <w:t xml:space="preserve">) für Raten mit 0 %- oder 100 %-Studien:</w:t>
      </w:r>
    </w:p>
    <w:p>
      <w:r>
        <w:t xml:space="preserve">Für einarmige Prävalenz- oder Komplikationsstudien transformiert EvidenzWerk nach Freeman &amp; Tukey (1950): y_i = arcsin√(e_i/n_i + 1) + arcsin√(e_i + 1/n_i + 1), v_i = 1/n_i + 0,5 und transformiert den gepoolten Schätzer exakt nach </w:t>
      </w:r>
      <w:r>
        <w:rPr>
          <w:b/>
        </w:rPr>
        <w:t xml:space="preserve">Miller (1978, </w:t>
      </w:r>
      <w:r>
        <w:rPr>
          <w:b/>
          <w:i/>
        </w:rPr>
        <w:t xml:space="preserve">The American Statistician</w:t>
      </w:r>
      <w:r>
        <w:rPr>
          <w:b/>
        </w:rPr>
        <w:t xml:space="preserve"> 32:138)</w:t>
      </w:r>
      <w:r>
        <w:t xml:space="preserve"> über das harmonische Mittel tilden der Stichprobengrößen in eine Prozentzahl zurück.</w:t>
      </w:r>
    </w:p>
    <w:p>
      <w:pPr>
        <w:pBdr>
          <w:bottom w:val="single" w:sz="6" w:space="1" w:color="B4B4B4"/>
        </w:pBdr>
      </w:pPr>
    </w:p>
    <w:p>
      <w:pPr>
        <w:pStyle w:val="Ueberschrift3"/>
      </w:pPr>
      <w:r>
        <w:t xml:space="preserve">5. Verzerrungsrisiko (Risk of Bias): RoB 2 vs. ROBINS-I vs. QUADAS-2</w:t>
      </w:r>
    </w:p>
    <w:p>
      <w:pPr>
        <w:jc w:val="center"/>
        <w:spacing w:before="120" w:after="60" w:line="240" w:lineRule="auto"/>
      </w:pPr>
      <w:r>
        <w:drawing>
          <wp:inline distT="0" distB="0" distL="0" distR="0">
            <wp:extent cx="5759450" cy="3671649"/>
            <wp:docPr id="7" name="Abbildung 7"/>
            <wp:cNvGraphicFramePr>
              <a:graphicFrameLocks noChangeAspect="1"/>
            </wp:cNvGraphicFramePr>
            <a:graphic>
              <a:graphicData uri="http://schemas.openxmlformats.org/drawingml/2006/picture">
                <pic:pic>
                  <pic:nvPicPr>
                    <pic:cNvPr id="7" name="image7.png"/>
                    <pic:cNvPicPr/>
                  </pic:nvPicPr>
                  <pic:blipFill>
                    <a:blip r:embed="rIdBild7"/>
                    <a:stretch>
                      <a:fillRect/>
                    </a:stretch>
                  </pic:blipFill>
                  <pic:spPr>
                    <a:xfrm>
                      <a:off x="0" y="0"/>
                      <a:ext cx="5759450" cy="3671649"/>
                    </a:xfrm>
                    <a:prstGeom prst="rect">
                      <a:avLst/>
                    </a:prstGeom>
                  </pic:spPr>
                </pic:pic>
              </a:graphicData>
            </a:graphic>
          </wp:inline>
        </w:drawing>
      </w:r>
    </w:p>
    <w:p>
      <w:r>
        <w:rPr>
          <w:b/>
          <w:sz w:val="18"/>
          <w:szCs w:val="18"/>
        </w:rPr>
        <w:t xml:space="preserve">Abbildung 7: </w:t>
      </w:r>
      <w:r>
        <w:rPr>
          <w:i/>
          <w:sz w:val="18"/>
          <w:szCs w:val="18"/>
        </w:rPr>
        <w:t xml:space="preserve">RoB 2 &amp; ROBINS-I Verzerrungsprüfung (07-bias-rob2-robins-i.png)</w:t>
      </w:r>
    </w:p>
    <w:p>
      <w:pPr>
        <w:pStyle w:val="Zitat"/>
      </w:pPr>
      <w:r>
        <w:rPr>
          <w:b/>
        </w:rPr>
        <w:t xml:space="preserve">Hinweis (WARNING):</w:t>
      </w:r>
      <w:r>
        <w:t xml:space="preserve"> </w:t>
      </w:r>
      <w:r>
        <w:rPr>
          <w:b/>
        </w:rPr>
        <w:t xml:space="preserve">Warum eine Design-Weiche zwischen RoB 2 und ROBINS-I unverzichtbar ist (</w:t>
      </w:r>
      <w:r>
        <w:rPr>
          <w:rFonts w:ascii="Courier New" w:hAnsi="Courier New" w:cs="Courier New"/>
        </w:rPr>
        <w:t xml:space="preserve">instrumentFuerDesign</w:t>
      </w:r>
      <w:r>
        <w:rPr>
          <w:b/>
        </w:rPr>
        <w:t xml:space="preserve">):</w:t>
      </w:r>
      <w:r>
        <w:t xml:space="preserve"> Ein häufiger Ablehnungsgrund bei medizinischen Fachzeitschriften ist die Bewertung von Beobachtungsstudien (Kohorten, Register, Prä-Post) mit </w:t>
      </w:r>
      <w:r>
        <w:rPr>
          <w:b/>
        </w:rPr>
        <w:t xml:space="preserve">RoB 2</w:t>
      </w:r>
      <w:r>
        <w:t xml:space="preserve">. RoB 2 gilt ausschließlich für randomisierte Studien (Domäne D1 prüft die Randomisierung!). Nicht-randomisierte Interventionsstudien müssen nach </w:t>
      </w:r>
      <w:r>
        <w:rPr>
          <w:b/>
        </w:rPr>
        <w:t xml:space="preserve">ROBINS-I (Sterne et al. 2016, </w:t>
      </w:r>
      <w:r>
        <w:rPr>
          <w:b/>
          <w:i/>
        </w:rPr>
        <w:t xml:space="preserve">BMJ</w:t>
      </w:r>
      <w:r>
        <w:rPr>
          <w:b/>
        </w:rPr>
        <w:t xml:space="preserve"> 355:i4919)</w:t>
      </w:r>
      <w:r>
        <w:t xml:space="preserve"> bewertet werden; diagnostische Studien nach </w:t>
      </w:r>
      <w:r>
        <w:rPr>
          <w:b/>
        </w:rPr>
        <w:t xml:space="preserve">QUADAS-2 (Whiting et al. 2011)</w:t>
      </w:r>
      <w:r>
        <w:t xml:space="preserve">. EvidenzWerk wählt anhand des kodierten Studiendesigns automatisch das methodisch richtige Instrument.</w:t>
      </w:r>
    </w:p>
    <w:tbl>
      <w:tblPr>
        <w:tblW w:w="9070" w:type="dxa"/>
        <w:tblLayout w:type="fixed"/>
        <w:tblBorders>
          <w:top w:val="single" w:sz="4" w:space="0" w:color="B4B4B4"/>
          <w:left w:val="single" w:sz="4" w:space="0" w:color="B4B4B4"/>
          <w:bottom w:val="single" w:sz="4" w:space="0" w:color="B4B4B4"/>
          <w:right w:val="single" w:sz="4" w:space="0" w:color="B4B4B4"/>
          <w:insideH w:val="single" w:sz="4" w:space="0" w:color="B4B4B4"/>
          <w:insideV w:val="single" w:sz="4" w:space="0" w:color="B4B4B4"/>
        </w:tblBorders>
      </w:tblPr>
      <w:tblGrid>
        <w:gridCol w:w="2268"/>
        <w:gridCol w:w="2268"/>
        <w:gridCol w:w="2268"/>
        <w:gridCol w:w="2266"/>
      </w:tblGrid>
      <w:tr>
        <w:trPr>
          <w:tblHeader/>
          <w:cantSplit/>
        </w:trPr>
        <w:tc>
          <w:tcPr>
            <w:tcW w:w="2268"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Eigenschaft</w:t>
            </w:r>
          </w:p>
        </w:tc>
        <w:tc>
          <w:tcPr>
            <w:tcW w:w="2268"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RoB 2</w:t>
            </w:r>
            <w:r>
              <w:rPr>
                <w:b/>
                <w:sz w:val="18"/>
                <w:szCs w:val="18"/>
              </w:rPr>
              <w:t xml:space="preserve"> (</w:t>
            </w:r>
            <w:r>
              <w:rPr>
                <w:b/>
                <w:rFonts w:ascii="Courier New" w:hAnsi="Courier New" w:cs="Courier New"/>
                <w:sz w:val="18"/>
                <w:szCs w:val="18"/>
              </w:rPr>
              <w:t xml:space="preserve">lib/rob2-shared.ts</w:t>
            </w:r>
            <w:r>
              <w:rPr>
                <w:b/>
                <w:sz w:val="18"/>
                <w:szCs w:val="18"/>
              </w:rPr>
              <w:t xml:space="preserve">)</w:t>
            </w:r>
          </w:p>
        </w:tc>
        <w:tc>
          <w:tcPr>
            <w:tcW w:w="2268"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ROBINS-I</w:t>
            </w:r>
            <w:r>
              <w:rPr>
                <w:b/>
                <w:sz w:val="18"/>
                <w:szCs w:val="18"/>
              </w:rPr>
              <w:t xml:space="preserve"> (</w:t>
            </w:r>
            <w:r>
              <w:rPr>
                <w:b/>
                <w:rFonts w:ascii="Courier New" w:hAnsi="Courier New" w:cs="Courier New"/>
                <w:sz w:val="18"/>
                <w:szCs w:val="18"/>
              </w:rPr>
              <w:t xml:space="preserve">lib/robins-i-shared.ts</w:t>
            </w:r>
            <w:r>
              <w:rPr>
                <w:b/>
                <w:sz w:val="18"/>
                <w:szCs w:val="18"/>
              </w:rPr>
              <w:t xml:space="preserve">)</w:t>
            </w:r>
          </w:p>
        </w:tc>
        <w:tc>
          <w:tcPr>
            <w:tcW w:w="2266"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QUADAS-2</w:t>
            </w:r>
            <w:r>
              <w:rPr>
                <w:b/>
                <w:sz w:val="18"/>
                <w:szCs w:val="18"/>
              </w:rPr>
              <w:t xml:space="preserve"> (</w:t>
            </w:r>
            <w:r>
              <w:rPr>
                <w:b/>
                <w:rFonts w:ascii="Courier New" w:hAnsi="Courier New" w:cs="Courier New"/>
                <w:sz w:val="18"/>
                <w:szCs w:val="18"/>
              </w:rPr>
              <w:t xml:space="preserve">lib/dta.ts</w:t>
            </w:r>
            <w:r>
              <w:rPr>
                <w:b/>
                <w:sz w:val="18"/>
                <w:szCs w:val="18"/>
              </w:rPr>
              <w:t xml:space="preserve">)</w:t>
            </w:r>
          </w:p>
        </w:tc>
      </w:tr>
      <w:tr>
        <w:trPr>
          <w:cantSplit/>
        </w:trPr>
        <w:tc>
          <w:tcPr>
            <w:tcW w:w="2268" w:type="dxa"/>
            <w:tcMar>
              <w:top w:w="60" w:type="dxa"/>
              <w:left w:w="80" w:type="dxa"/>
              <w:bottom w:w="60" w:type="dxa"/>
              <w:right w:w="80" w:type="dxa"/>
            </w:tcMar>
          </w:tcPr>
          <w:p>
            <w:pPr>
              <w:suppressLineNumbers/>
              <w:spacing w:before="20" w:after="20" w:line="240" w:lineRule="auto"/>
            </w:pPr>
            <w:r>
              <w:rPr>
                <w:b/>
                <w:sz w:val="18"/>
                <w:szCs w:val="18"/>
              </w:rPr>
              <w:t xml:space="preserve">Studiendesign</w:t>
            </w:r>
          </w:p>
        </w:tc>
        <w:tc>
          <w:tcPr>
            <w:tcW w:w="2268" w:type="dxa"/>
            <w:tcMar>
              <w:top w:w="60" w:type="dxa"/>
              <w:left w:w="80" w:type="dxa"/>
              <w:bottom w:w="60" w:type="dxa"/>
              <w:right w:w="80" w:type="dxa"/>
            </w:tcMar>
          </w:tcPr>
          <w:p>
            <w:pPr>
              <w:suppressLineNumbers/>
              <w:spacing w:before="20" w:after="20" w:line="240" w:lineRule="auto"/>
            </w:pPr>
            <w:r>
              <w:rPr>
                <w:sz w:val="18"/>
                <w:szCs w:val="18"/>
              </w:rPr>
              <w:t xml:space="preserve">Randomisierte kontrollierte Studien (RCT, Cluster-RCT, Crossover-RCT)</w:t>
            </w:r>
          </w:p>
        </w:tc>
        <w:tc>
          <w:tcPr>
            <w:tcW w:w="2268" w:type="dxa"/>
            <w:tcMar>
              <w:top w:w="60" w:type="dxa"/>
              <w:left w:w="80" w:type="dxa"/>
              <w:bottom w:w="60" w:type="dxa"/>
              <w:right w:w="80" w:type="dxa"/>
            </w:tcMar>
          </w:tcPr>
          <w:p>
            <w:pPr>
              <w:suppressLineNumbers/>
              <w:spacing w:before="20" w:after="20" w:line="240" w:lineRule="auto"/>
            </w:pPr>
            <w:r>
              <w:rPr>
                <w:sz w:val="18"/>
                <w:szCs w:val="18"/>
              </w:rPr>
              <w:t xml:space="preserve">Nicht-randomisierte Interventionsstudien (Kohorten, Register, Quasi-Experimente)</w:t>
            </w:r>
          </w:p>
        </w:tc>
        <w:tc>
          <w:tcPr>
            <w:tcW w:w="2266" w:type="dxa"/>
            <w:tcMar>
              <w:top w:w="60" w:type="dxa"/>
              <w:left w:w="80" w:type="dxa"/>
              <w:bottom w:w="60" w:type="dxa"/>
              <w:right w:w="80" w:type="dxa"/>
            </w:tcMar>
          </w:tcPr>
          <w:p>
            <w:pPr>
              <w:suppressLineNumbers/>
              <w:spacing w:before="20" w:after="20" w:line="240" w:lineRule="auto"/>
            </w:pPr>
            <w:r>
              <w:rPr>
                <w:sz w:val="18"/>
                <w:szCs w:val="18"/>
              </w:rPr>
              <w:t xml:space="preserve">Diagnostische Testgütestudien (Indextest gegen Referenzstandard)</w:t>
            </w:r>
          </w:p>
        </w:tc>
      </w:tr>
      <w:tr>
        <w:trPr>
          <w:cantSplit/>
        </w:trPr>
        <w:tc>
          <w:tcPr>
            <w:tcW w:w="2268" w:type="dxa"/>
            <w:tcMar>
              <w:top w:w="60" w:type="dxa"/>
              <w:left w:w="80" w:type="dxa"/>
              <w:bottom w:w="60" w:type="dxa"/>
              <w:right w:w="80" w:type="dxa"/>
            </w:tcMar>
          </w:tcPr>
          <w:p>
            <w:pPr>
              <w:suppressLineNumbers/>
              <w:spacing w:before="20" w:after="20" w:line="240" w:lineRule="auto"/>
            </w:pPr>
            <w:r>
              <w:rPr>
                <w:b/>
                <w:sz w:val="18"/>
                <w:szCs w:val="18"/>
              </w:rPr>
              <w:t xml:space="preserve">Domänen</w:t>
            </w:r>
          </w:p>
        </w:tc>
        <w:tc>
          <w:tcPr>
            <w:tcW w:w="2268" w:type="dxa"/>
            <w:tcMar>
              <w:top w:w="60" w:type="dxa"/>
              <w:left w:w="80" w:type="dxa"/>
              <w:bottom w:w="60" w:type="dxa"/>
              <w:right w:w="80" w:type="dxa"/>
            </w:tcMar>
          </w:tcPr>
          <w:p>
            <w:pPr>
              <w:suppressLineNumbers/>
              <w:spacing w:before="20" w:after="20" w:line="240" w:lineRule="auto"/>
            </w:pPr>
            <w:r>
              <w:rPr>
                <w:b/>
                <w:sz w:val="18"/>
                <w:szCs w:val="18"/>
              </w:rPr>
              <w:t xml:space="preserve">5 Domänen (</w:t>
            </w:r>
            <w:r>
              <w:rPr>
                <w:rFonts w:ascii="Courier New" w:hAnsi="Courier New" w:cs="Courier New"/>
                <w:sz w:val="18"/>
                <w:szCs w:val="18"/>
              </w:rPr>
              <w:t xml:space="preserve">d1</w:t>
            </w:r>
            <w:r>
              <w:rPr>
                <w:b/>
                <w:sz w:val="18"/>
                <w:szCs w:val="18"/>
              </w:rPr>
              <w:t xml:space="preserve">–</w:t>
            </w:r>
            <w:r>
              <w:rPr>
                <w:rFonts w:ascii="Courier New" w:hAnsi="Courier New" w:cs="Courier New"/>
                <w:sz w:val="18"/>
                <w:szCs w:val="18"/>
              </w:rPr>
              <w:t xml:space="preserve">d5</w:t>
            </w:r>
            <w:r>
              <w:rPr>
                <w:b/>
                <w:sz w:val="18"/>
                <w:szCs w:val="18"/>
              </w:rPr>
              <w:t xml:space="preserve">):</w:t>
            </w:r>
            <w:r>
              <w:rPr>
                <w:sz w:val="18"/>
                <w:szCs w:val="18"/>
              </w:rPr>
              <w:t xml:space="preserve">&lt;br/&gt;D1 Randomisierung&lt;br/&gt;D2 Abweichungen von der Intervention&lt;br/&gt;D3 Fehlende Outcome-Daten&lt;br/&gt;D4 Messung des Outcomes&lt;br/&gt;D5 Selektives Berichten</w:t>
            </w:r>
          </w:p>
        </w:tc>
        <w:tc>
          <w:tcPr>
            <w:tcW w:w="2268" w:type="dxa"/>
            <w:tcMar>
              <w:top w:w="60" w:type="dxa"/>
              <w:left w:w="80" w:type="dxa"/>
              <w:bottom w:w="60" w:type="dxa"/>
              <w:right w:w="80" w:type="dxa"/>
            </w:tcMar>
          </w:tcPr>
          <w:p>
            <w:pPr>
              <w:suppressLineNumbers/>
              <w:spacing w:before="20" w:after="20" w:line="240" w:lineRule="auto"/>
            </w:pPr>
            <w:r>
              <w:rPr>
                <w:b/>
                <w:sz w:val="18"/>
                <w:szCs w:val="18"/>
              </w:rPr>
              <w:t xml:space="preserve">7 Domänen (</w:t>
            </w:r>
            <w:r>
              <w:rPr>
                <w:rFonts w:ascii="Courier New" w:hAnsi="Courier New" w:cs="Courier New"/>
                <w:sz w:val="18"/>
                <w:szCs w:val="18"/>
              </w:rPr>
              <w:t xml:space="preserve">d1</w:t>
            </w:r>
            <w:r>
              <w:rPr>
                <w:b/>
                <w:sz w:val="18"/>
                <w:szCs w:val="18"/>
              </w:rPr>
              <w:t xml:space="preserve">–</w:t>
            </w:r>
            <w:r>
              <w:rPr>
                <w:rFonts w:ascii="Courier New" w:hAnsi="Courier New" w:cs="Courier New"/>
                <w:sz w:val="18"/>
                <w:szCs w:val="18"/>
              </w:rPr>
              <w:t xml:space="preserve">d7</w:t>
            </w:r>
            <w:r>
              <w:rPr>
                <w:b/>
                <w:sz w:val="18"/>
                <w:szCs w:val="18"/>
              </w:rPr>
              <w:t xml:space="preserve">):</w:t>
            </w:r>
            <w:r>
              <w:rPr>
                <w:sz w:val="18"/>
                <w:szCs w:val="18"/>
              </w:rPr>
              <w:t xml:space="preserve">&lt;br/&gt;D1 </w:t>
            </w:r>
            <w:r>
              <w:rPr>
                <w:b/>
                <w:sz w:val="18"/>
                <w:szCs w:val="18"/>
              </w:rPr>
              <w:t xml:space="preserve">Confounding</w:t>
            </w:r>
            <w:r>
              <w:rPr>
                <w:sz w:val="18"/>
                <w:szCs w:val="18"/>
              </w:rPr>
              <w:t xml:space="preserve"> (gegen präspezifizierte Störgrößen!)&lt;br/&gt;D2 Selektion der Teilnehmenden&lt;br/&gt;D3 Klassifikation der Intervention&lt;br/&gt;D4 Abweichungen von geplanter Intervention&lt;br/&gt;D5 Fehlende Daten&lt;br/&gt;D6 Messung des Outcomes&lt;br/&gt;D7 Selektives Berichten</w:t>
            </w:r>
          </w:p>
        </w:tc>
        <w:tc>
          <w:tcPr>
            <w:tcW w:w="2266" w:type="dxa"/>
            <w:tcMar>
              <w:top w:w="60" w:type="dxa"/>
              <w:left w:w="80" w:type="dxa"/>
              <w:bottom w:w="60" w:type="dxa"/>
              <w:right w:w="80" w:type="dxa"/>
            </w:tcMar>
          </w:tcPr>
          <w:p>
            <w:pPr>
              <w:suppressLineNumbers/>
              <w:spacing w:before="20" w:after="20" w:line="240" w:lineRule="auto"/>
            </w:pPr>
            <w:r>
              <w:rPr>
                <w:b/>
                <w:sz w:val="18"/>
                <w:szCs w:val="18"/>
              </w:rPr>
              <w:t xml:space="preserve">4 Domänen (je Verzerrungsrisiko + Anwendbarkeit):</w:t>
            </w:r>
            <w:r>
              <w:rPr>
                <w:sz w:val="18"/>
                <w:szCs w:val="18"/>
              </w:rPr>
              <w:t xml:space="preserve">&lt;br/&gt;D1 Patientenselektion&lt;br/&gt;D2 Indextest&lt;br/&gt;D3 Referenzstandard&lt;br/&gt;D4 Patientenfluss &amp; Timing</w:t>
            </w:r>
          </w:p>
        </w:tc>
      </w:tr>
      <w:tr>
        <w:trPr>
          <w:cantSplit/>
        </w:trPr>
        <w:tc>
          <w:tcPr>
            <w:tcW w:w="2268" w:type="dxa"/>
            <w:tcMar>
              <w:top w:w="60" w:type="dxa"/>
              <w:left w:w="80" w:type="dxa"/>
              <w:bottom w:w="60" w:type="dxa"/>
              <w:right w:w="80" w:type="dxa"/>
            </w:tcMar>
          </w:tcPr>
          <w:p>
            <w:pPr>
              <w:suppressLineNumbers/>
              <w:spacing w:before="20" w:after="20" w:line="240" w:lineRule="auto"/>
            </w:pPr>
            <w:r>
              <w:rPr>
                <w:b/>
                <w:sz w:val="18"/>
                <w:szCs w:val="18"/>
              </w:rPr>
              <w:t xml:space="preserve">Urteilsstufen &amp; Ampelsymbole (barrierefrei)</w:t>
            </w:r>
          </w:p>
        </w:tc>
        <w:tc>
          <w:tcPr>
            <w:tcW w:w="2268"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w:t>
            </w:r>
            <w:r>
              <w:rPr>
                <w:sz w:val="18"/>
                <w:szCs w:val="18"/>
              </w:rPr>
              <w:t xml:space="preserve"> </w:t>
            </w:r>
            <w:r>
              <w:rPr>
                <w:b/>
                <w:sz w:val="18"/>
                <w:szCs w:val="18"/>
              </w:rPr>
              <w:t xml:space="preserve">Niedrig</w:t>
            </w:r>
            <w:r>
              <w:rPr>
                <w:sz w:val="18"/>
                <w:szCs w:val="18"/>
              </w:rPr>
              <w:t xml:space="preserve"> (</w:t>
            </w:r>
            <w:r>
              <w:rPr>
                <w:rFonts w:ascii="Courier New" w:hAnsi="Courier New" w:cs="Courier New"/>
                <w:sz w:val="18"/>
                <w:szCs w:val="18"/>
              </w:rPr>
              <w:t xml:space="preserve">low</w:t>
            </w:r>
            <w:r>
              <w:rPr>
                <w:sz w:val="18"/>
                <w:szCs w:val="18"/>
              </w:rPr>
              <w:t xml:space="preserve">)&lt;br/&gt;</w:t>
            </w:r>
            <w:r>
              <w:rPr>
                <w:rFonts w:ascii="Courier New" w:hAnsi="Courier New" w:cs="Courier New"/>
                <w:sz w:val="18"/>
                <w:szCs w:val="18"/>
              </w:rPr>
              <w:t xml:space="preserve">!</w:t>
            </w:r>
            <w:r>
              <w:rPr>
                <w:sz w:val="18"/>
                <w:szCs w:val="18"/>
              </w:rPr>
              <w:t xml:space="preserve"> </w:t>
            </w:r>
            <w:r>
              <w:rPr>
                <w:b/>
                <w:sz w:val="18"/>
                <w:szCs w:val="18"/>
              </w:rPr>
              <w:t xml:space="preserve">Einige Bedenken</w:t>
            </w:r>
            <w:r>
              <w:rPr>
                <w:sz w:val="18"/>
                <w:szCs w:val="18"/>
              </w:rPr>
              <w:t xml:space="preserve"> (</w:t>
            </w:r>
            <w:r>
              <w:rPr>
                <w:rFonts w:ascii="Courier New" w:hAnsi="Courier New" w:cs="Courier New"/>
                <w:sz w:val="18"/>
                <w:szCs w:val="18"/>
              </w:rPr>
              <w:t xml:space="preserve">some_concerns</w:t>
            </w:r>
            <w:r>
              <w:rPr>
                <w:sz w:val="18"/>
                <w:szCs w:val="18"/>
              </w:rPr>
              <w:t xml:space="preserve">)&lt;br/&gt;</w:t>
            </w:r>
            <w:r>
              <w:rPr>
                <w:rFonts w:ascii="Courier New" w:hAnsi="Courier New" w:cs="Courier New"/>
                <w:sz w:val="18"/>
                <w:szCs w:val="18"/>
              </w:rPr>
              <w:t xml:space="preserve">×</w:t>
            </w:r>
            <w:r>
              <w:rPr>
                <w:sz w:val="18"/>
                <w:szCs w:val="18"/>
              </w:rPr>
              <w:t xml:space="preserve"> </w:t>
            </w:r>
            <w:r>
              <w:rPr>
                <w:b/>
                <w:sz w:val="18"/>
                <w:szCs w:val="18"/>
              </w:rPr>
              <w:t xml:space="preserve">Hoch</w:t>
            </w:r>
            <w:r>
              <w:rPr>
                <w:sz w:val="18"/>
                <w:szCs w:val="18"/>
              </w:rPr>
              <w:t xml:space="preserve"> (</w:t>
            </w:r>
            <w:r>
              <w:rPr>
                <w:rFonts w:ascii="Courier New" w:hAnsi="Courier New" w:cs="Courier New"/>
                <w:sz w:val="18"/>
                <w:szCs w:val="18"/>
              </w:rPr>
              <w:t xml:space="preserve">high</w:t>
            </w:r>
            <w:r>
              <w:rPr>
                <w:sz w:val="18"/>
                <w:szCs w:val="18"/>
              </w:rPr>
              <w:t xml:space="preserve">)</w:t>
            </w:r>
          </w:p>
        </w:tc>
        <w:tc>
          <w:tcPr>
            <w:tcW w:w="2268"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w:t>
            </w:r>
            <w:r>
              <w:rPr>
                <w:sz w:val="18"/>
                <w:szCs w:val="18"/>
              </w:rPr>
              <w:t xml:space="preserve"> </w:t>
            </w:r>
            <w:r>
              <w:rPr>
                <w:b/>
                <w:sz w:val="18"/>
                <w:szCs w:val="18"/>
              </w:rPr>
              <w:t xml:space="preserve">Niedrig</w:t>
            </w:r>
            <w:r>
              <w:rPr>
                <w:sz w:val="18"/>
                <w:szCs w:val="18"/>
              </w:rPr>
              <w:t xml:space="preserve"> (</w:t>
            </w:r>
            <w:r>
              <w:rPr>
                <w:rFonts w:ascii="Courier New" w:hAnsi="Courier New" w:cs="Courier New"/>
                <w:sz w:val="18"/>
                <w:szCs w:val="18"/>
              </w:rPr>
              <w:t xml:space="preserve">low</w:t>
            </w:r>
            <w:r>
              <w:rPr>
                <w:sz w:val="18"/>
                <w:szCs w:val="18"/>
              </w:rPr>
              <w:t xml:space="preserve">)&lt;br/&gt;</w:t>
            </w:r>
            <w:r>
              <w:rPr>
                <w:rFonts w:ascii="Courier New" w:hAnsi="Courier New" w:cs="Courier New"/>
                <w:sz w:val="18"/>
                <w:szCs w:val="18"/>
              </w:rPr>
              <w:t xml:space="preserve">!</w:t>
            </w:r>
            <w:r>
              <w:rPr>
                <w:sz w:val="18"/>
                <w:szCs w:val="18"/>
              </w:rPr>
              <w:t xml:space="preserve"> </w:t>
            </w:r>
            <w:r>
              <w:rPr>
                <w:b/>
                <w:sz w:val="18"/>
                <w:szCs w:val="18"/>
              </w:rPr>
              <w:t xml:space="preserve">Moderat</w:t>
            </w:r>
            <w:r>
              <w:rPr>
                <w:sz w:val="18"/>
                <w:szCs w:val="18"/>
              </w:rPr>
              <w:t xml:space="preserve"> (</w:t>
            </w:r>
            <w:r>
              <w:rPr>
                <w:rFonts w:ascii="Courier New" w:hAnsi="Courier New" w:cs="Courier New"/>
                <w:sz w:val="18"/>
                <w:szCs w:val="18"/>
              </w:rPr>
              <w:t xml:space="preserve">moderate</w:t>
            </w:r>
            <w:r>
              <w:rPr>
                <w:sz w:val="18"/>
                <w:szCs w:val="18"/>
              </w:rPr>
              <w:t xml:space="preserve">)&lt;br/&gt;</w:t>
            </w:r>
            <w:r>
              <w:rPr>
                <w:rFonts w:ascii="Courier New" w:hAnsi="Courier New" w:cs="Courier New"/>
                <w:sz w:val="18"/>
                <w:szCs w:val="18"/>
              </w:rPr>
              <w:t xml:space="preserve">×</w:t>
            </w:r>
            <w:r>
              <w:rPr>
                <w:sz w:val="18"/>
                <w:szCs w:val="18"/>
              </w:rPr>
              <w:t xml:space="preserve"> </w:t>
            </w:r>
            <w:r>
              <w:rPr>
                <w:b/>
                <w:sz w:val="18"/>
                <w:szCs w:val="18"/>
              </w:rPr>
              <w:t xml:space="preserve">Ernsthaft</w:t>
            </w:r>
            <w:r>
              <w:rPr>
                <w:sz w:val="18"/>
                <w:szCs w:val="18"/>
              </w:rPr>
              <w:t xml:space="preserve"> (</w:t>
            </w:r>
            <w:r>
              <w:rPr>
                <w:rFonts w:ascii="Courier New" w:hAnsi="Courier New" w:cs="Courier New"/>
                <w:sz w:val="18"/>
                <w:szCs w:val="18"/>
              </w:rPr>
              <w:t xml:space="preserve">serious</w:t>
            </w:r>
            <w:r>
              <w:rPr>
                <w:sz w:val="18"/>
                <w:szCs w:val="18"/>
              </w:rPr>
              <w:t xml:space="preserve">)&lt;br/&gt;</w:t>
            </w:r>
            <w:r>
              <w:rPr>
                <w:rFonts w:ascii="Courier New" w:hAnsi="Courier New" w:cs="Courier New"/>
                <w:sz w:val="18"/>
                <w:szCs w:val="18"/>
              </w:rPr>
              <w:t xml:space="preserve">‼</w:t>
            </w:r>
            <w:r>
              <w:rPr>
                <w:sz w:val="18"/>
                <w:szCs w:val="18"/>
              </w:rPr>
              <w:t xml:space="preserve"> </w:t>
            </w:r>
            <w:r>
              <w:rPr>
                <w:b/>
                <w:sz w:val="18"/>
                <w:szCs w:val="18"/>
              </w:rPr>
              <w:t xml:space="preserve">Kritisch</w:t>
            </w:r>
            <w:r>
              <w:rPr>
                <w:sz w:val="18"/>
                <w:szCs w:val="18"/>
              </w:rPr>
              <w:t xml:space="preserve"> (</w:t>
            </w:r>
            <w:r>
              <w:rPr>
                <w:rFonts w:ascii="Courier New" w:hAnsi="Courier New" w:cs="Courier New"/>
                <w:sz w:val="18"/>
                <w:szCs w:val="18"/>
              </w:rPr>
              <w:t xml:space="preserve">critical</w:t>
            </w:r>
            <w:r>
              <w:rPr>
                <w:sz w:val="18"/>
                <w:szCs w:val="18"/>
              </w:rPr>
              <w:t xml:space="preserve"> — Ausschluss aus Synthese!)&lt;br/&gt;</w:t>
            </w:r>
            <w:r>
              <w:rPr>
                <w:rFonts w:ascii="Courier New" w:hAnsi="Courier New" w:cs="Courier New"/>
                <w:sz w:val="18"/>
                <w:szCs w:val="18"/>
              </w:rPr>
              <w:t xml:space="preserve">?</w:t>
            </w:r>
            <w:r>
              <w:rPr>
                <w:sz w:val="18"/>
                <w:szCs w:val="18"/>
              </w:rPr>
              <w:t xml:space="preserve"> </w:t>
            </w:r>
            <w:r>
              <w:rPr>
                <w:b/>
                <w:sz w:val="18"/>
                <w:szCs w:val="18"/>
              </w:rPr>
              <w:t xml:space="preserve">Keine Information</w:t>
            </w:r>
            <w:r>
              <w:rPr>
                <w:sz w:val="18"/>
                <w:szCs w:val="18"/>
              </w:rPr>
              <w:t xml:space="preserve"> (</w:t>
            </w:r>
            <w:r>
              <w:rPr>
                <w:rFonts w:ascii="Courier New" w:hAnsi="Courier New" w:cs="Courier New"/>
                <w:sz w:val="18"/>
                <w:szCs w:val="18"/>
              </w:rPr>
              <w:t xml:space="preserve">no_information</w:t>
            </w:r>
            <w:r>
              <w:rPr>
                <w:sz w:val="18"/>
                <w:szCs w:val="18"/>
              </w:rPr>
              <w:t xml:space="preserve">)</w:t>
            </w:r>
          </w:p>
        </w:tc>
        <w:tc>
          <w:tcPr>
            <w:tcW w:w="2266"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w:t>
            </w:r>
            <w:r>
              <w:rPr>
                <w:sz w:val="18"/>
                <w:szCs w:val="18"/>
              </w:rPr>
              <w:t xml:space="preserve"> </w:t>
            </w:r>
            <w:r>
              <w:rPr>
                <w:b/>
                <w:sz w:val="18"/>
                <w:szCs w:val="18"/>
              </w:rPr>
              <w:t xml:space="preserve">Niedrig</w:t>
            </w:r>
            <w:r>
              <w:rPr>
                <w:sz w:val="18"/>
                <w:szCs w:val="18"/>
              </w:rPr>
              <w:t xml:space="preserve"> (</w:t>
            </w:r>
            <w:r>
              <w:rPr>
                <w:rFonts w:ascii="Courier New" w:hAnsi="Courier New" w:cs="Courier New"/>
                <w:sz w:val="18"/>
                <w:szCs w:val="18"/>
              </w:rPr>
              <w:t xml:space="preserve">low</w:t>
            </w:r>
            <w:r>
              <w:rPr>
                <w:sz w:val="18"/>
                <w:szCs w:val="18"/>
              </w:rPr>
              <w:t xml:space="preserve">)&lt;br/&gt;</w:t>
            </w:r>
            <w:r>
              <w:rPr>
                <w:rFonts w:ascii="Courier New" w:hAnsi="Courier New" w:cs="Courier New"/>
                <w:sz w:val="18"/>
                <w:szCs w:val="18"/>
              </w:rPr>
              <w:t xml:space="preserve">?</w:t>
            </w:r>
            <w:r>
              <w:rPr>
                <w:sz w:val="18"/>
                <w:szCs w:val="18"/>
              </w:rPr>
              <w:t xml:space="preserve"> </w:t>
            </w:r>
            <w:r>
              <w:rPr>
                <w:b/>
                <w:sz w:val="18"/>
                <w:szCs w:val="18"/>
              </w:rPr>
              <w:t xml:space="preserve">Unklar</w:t>
            </w:r>
            <w:r>
              <w:rPr>
                <w:sz w:val="18"/>
                <w:szCs w:val="18"/>
              </w:rPr>
              <w:t xml:space="preserve"> (</w:t>
            </w:r>
            <w:r>
              <w:rPr>
                <w:rFonts w:ascii="Courier New" w:hAnsi="Courier New" w:cs="Courier New"/>
                <w:sz w:val="18"/>
                <w:szCs w:val="18"/>
              </w:rPr>
              <w:t xml:space="preserve">unclear</w:t>
            </w:r>
            <w:r>
              <w:rPr>
                <w:sz w:val="18"/>
                <w:szCs w:val="18"/>
              </w:rPr>
              <w:t xml:space="preserve">)&lt;br/&gt;</w:t>
            </w:r>
            <w:r>
              <w:rPr>
                <w:rFonts w:ascii="Courier New" w:hAnsi="Courier New" w:cs="Courier New"/>
                <w:sz w:val="18"/>
                <w:szCs w:val="18"/>
              </w:rPr>
              <w:t xml:space="preserve">−</w:t>
            </w:r>
            <w:r>
              <w:rPr>
                <w:sz w:val="18"/>
                <w:szCs w:val="18"/>
              </w:rPr>
              <w:t xml:space="preserve"> </w:t>
            </w:r>
            <w:r>
              <w:rPr>
                <w:b/>
                <w:sz w:val="18"/>
                <w:szCs w:val="18"/>
              </w:rPr>
              <w:t xml:space="preserve">Hoch</w:t>
            </w:r>
            <w:r>
              <w:rPr>
                <w:sz w:val="18"/>
                <w:szCs w:val="18"/>
              </w:rPr>
              <w:t xml:space="preserve"> (</w:t>
            </w:r>
            <w:r>
              <w:rPr>
                <w:rFonts w:ascii="Courier New" w:hAnsi="Courier New" w:cs="Courier New"/>
                <w:sz w:val="18"/>
                <w:szCs w:val="18"/>
              </w:rPr>
              <w:t xml:space="preserve">high</w:t>
            </w:r>
            <w:r>
              <w:rPr>
                <w:sz w:val="18"/>
                <w:szCs w:val="18"/>
              </w:rPr>
              <w:t xml:space="preserve">)</w:t>
            </w:r>
          </w:p>
        </w:tc>
      </w:tr>
      <w:tr>
        <w:trPr>
          <w:cantSplit/>
        </w:trPr>
        <w:tc>
          <w:tcPr>
            <w:tcW w:w="2268" w:type="dxa"/>
            <w:tcMar>
              <w:top w:w="60" w:type="dxa"/>
              <w:left w:w="80" w:type="dxa"/>
              <w:bottom w:w="60" w:type="dxa"/>
              <w:right w:w="80" w:type="dxa"/>
            </w:tcMar>
          </w:tcPr>
          <w:p>
            <w:pPr>
              <w:suppressLineNumbers/>
              <w:spacing w:before="20" w:after="20" w:line="240" w:lineRule="auto"/>
            </w:pPr>
            <w:r>
              <w:rPr>
                <w:b/>
                <w:sz w:val="18"/>
                <w:szCs w:val="18"/>
              </w:rPr>
              <w:t xml:space="preserve">KI-Unterstützung &amp; Zweitmeinung</w:t>
            </w:r>
          </w:p>
        </w:tc>
        <w:tc>
          <w:tcPr>
            <w:tcW w:w="2268" w:type="dxa"/>
            <w:tcMar>
              <w:top w:w="60" w:type="dxa"/>
              <w:left w:w="80" w:type="dxa"/>
              <w:bottom w:w="60" w:type="dxa"/>
              <w:right w:w="80" w:type="dxa"/>
            </w:tcMar>
          </w:tcPr>
          <w:p>
            <w:pPr>
              <w:suppressLineNumbers/>
              <w:spacing w:before="20" w:after="20" w:line="240" w:lineRule="auto"/>
            </w:pPr>
            <w:r>
              <w:rPr>
                <w:sz w:val="18"/>
                <w:szCs w:val="18"/>
              </w:rPr>
              <w:t xml:space="preserve">KI-Vorschlag mit Textzitat aus dem PDF + unabhängige Zweitmeinung eines zweiten Sprachmodells + verbindliches menschliches Final-Urteil</w:t>
            </w:r>
          </w:p>
        </w:tc>
        <w:tc>
          <w:tcPr>
            <w:tcW w:w="2268" w:type="dxa"/>
            <w:tcMar>
              <w:top w:w="60" w:type="dxa"/>
              <w:left w:w="80" w:type="dxa"/>
              <w:bottom w:w="60" w:type="dxa"/>
              <w:right w:w="80" w:type="dxa"/>
            </w:tcMar>
          </w:tcPr>
          <w:p>
            <w:pPr>
              <w:suppressLineNumbers/>
              <w:spacing w:before="20" w:after="20" w:line="240" w:lineRule="auto"/>
            </w:pPr>
            <w:r>
              <w:rPr>
                <w:sz w:val="18"/>
                <w:szCs w:val="18"/>
              </w:rPr>
              <w:t xml:space="preserve">Prüft D1 explizit gegen die im Projekt hinterlegten </w:t>
            </w:r>
            <w:r>
              <w:rPr>
                <w:b/>
                <w:sz w:val="18"/>
                <w:szCs w:val="18"/>
              </w:rPr>
              <w:t xml:space="preserve">präspezifizierten Confounder</w:t>
            </w:r>
            <w:r>
              <w:rPr>
                <w:sz w:val="18"/>
                <w:szCs w:val="18"/>
              </w:rPr>
              <w:t xml:space="preserve"> (z. B. </w:t>
            </w:r>
            <w:r>
              <w:rPr>
                <w:i/>
                <w:sz w:val="18"/>
                <w:szCs w:val="18"/>
              </w:rPr>
              <w:t xml:space="preserve">ECOG</w:t>
            </w:r>
            <w:r>
              <w:rPr>
                <w:sz w:val="18"/>
                <w:szCs w:val="18"/>
              </w:rPr>
              <w:t xml:space="preserve">, </w:t>
            </w:r>
            <w:r>
              <w:rPr>
                <w:i/>
                <w:sz w:val="18"/>
                <w:szCs w:val="18"/>
              </w:rPr>
              <w:t xml:space="preserve">PD-L1</w:t>
            </w:r>
            <w:r>
              <w:rPr>
                <w:sz w:val="18"/>
                <w:szCs w:val="18"/>
              </w:rPr>
              <w:t xml:space="preserve">, </w:t>
            </w:r>
            <w:r>
              <w:rPr>
                <w:i/>
                <w:sz w:val="18"/>
                <w:szCs w:val="18"/>
              </w:rPr>
              <w:t xml:space="preserve">Raucherstatus</w:t>
            </w:r>
            <w:r>
              <w:rPr>
                <w:sz w:val="18"/>
                <w:szCs w:val="18"/>
              </w:rPr>
              <w:t xml:space="preserve">) + Zweitmeinung + Final-Urteil</w:t>
            </w:r>
          </w:p>
        </w:tc>
        <w:tc>
          <w:tcPr>
            <w:tcW w:w="2266" w:type="dxa"/>
            <w:tcMar>
              <w:top w:w="60" w:type="dxa"/>
              <w:left w:w="80" w:type="dxa"/>
              <w:bottom w:w="60" w:type="dxa"/>
              <w:right w:w="80" w:type="dxa"/>
            </w:tcMar>
          </w:tcPr>
          <w:p>
            <w:pPr>
              <w:suppressLineNumbers/>
              <w:spacing w:before="20" w:after="20" w:line="240" w:lineRule="auto"/>
            </w:pPr>
            <w:r>
              <w:rPr>
                <w:sz w:val="18"/>
                <w:szCs w:val="18"/>
              </w:rPr>
              <w:t xml:space="preserve">Strukturierte Domänen-Erfassung mit direkter Speicherung in </w:t>
            </w:r>
            <w:r>
              <w:rPr>
                <w:rFonts w:ascii="Courier New" w:hAnsi="Courier New" w:cs="Courier New"/>
                <w:sz w:val="18"/>
                <w:szCs w:val="18"/>
              </w:rPr>
              <w:t xml:space="preserve">quadas2_assessments</w:t>
            </w:r>
          </w:p>
        </w:tc>
      </w:tr>
    </w:tbl>
    <w:p>
      <w:pPr>
        <w:spacing w:after="0" w:line="240" w:lineRule="auto"/>
      </w:pPr>
    </w:p>
    <w:p>
      <w:pPr>
        <w:pBdr>
          <w:bottom w:val="single" w:sz="6" w:space="1" w:color="B4B4B4"/>
        </w:pBdr>
      </w:pPr>
    </w:p>
    <w:p>
      <w:pPr>
        <w:pStyle w:val="Ueberschrift3"/>
      </w:pPr>
      <w:r>
        <w:t xml:space="preserve">6. Statistische Synthese: Von 2-Ebenen-REML bis zur Drei-Ebenen-Meta-Analyse mit </w:t>
      </w:r>
      <w:r>
        <w:rPr>
          <w:rFonts w:ascii="Courier New" w:hAnsi="Courier New" w:cs="Courier New"/>
        </w:rPr>
        <w:t xml:space="preserve">clubSandwich</w:t>
      </w:r>
      <w:r>
        <w:t xml:space="preserve"> CR2</w:t>
      </w:r>
    </w:p>
    <w:p>
      <w:pPr>
        <w:pStyle w:val="Ueberschrift4"/>
      </w:pPr>
      <w:r>
        <w:t xml:space="preserve">6.1 Klassische 2-Ebenen-Modelle, Forest-Plot, Funnel-Plot &amp; Subgruppen</w:t>
      </w:r>
    </w:p>
    <w:p>
      <w:pPr>
        <w:jc w:val="center"/>
        <w:spacing w:before="120" w:after="60" w:line="240" w:lineRule="auto"/>
      </w:pPr>
      <w:r>
        <w:drawing>
          <wp:inline distT="0" distB="0" distL="0" distR="0">
            <wp:extent cx="5759450" cy="3671649"/>
            <wp:docPr id="8" name="Abbildung 8"/>
            <wp:cNvGraphicFramePr>
              <a:graphicFrameLocks noChangeAspect="1"/>
            </wp:cNvGraphicFramePr>
            <a:graphic>
              <a:graphicData uri="http://schemas.openxmlformats.org/drawingml/2006/picture">
                <pic:pic>
                  <pic:nvPicPr>
                    <pic:cNvPr id="8" name="image8.png"/>
                    <pic:cNvPicPr/>
                  </pic:nvPicPr>
                  <pic:blipFill>
                    <a:blip r:embed="rIdBild8"/>
                    <a:stretch>
                      <a:fillRect/>
                    </a:stretch>
                  </pic:blipFill>
                  <pic:spPr>
                    <a:xfrm>
                      <a:off x="0" y="0"/>
                      <a:ext cx="5759450" cy="3671649"/>
                    </a:xfrm>
                    <a:prstGeom prst="rect">
                      <a:avLst/>
                    </a:prstGeom>
                  </pic:spPr>
                </pic:pic>
              </a:graphicData>
            </a:graphic>
          </wp:inline>
        </w:drawing>
      </w:r>
    </w:p>
    <w:p>
      <w:r>
        <w:rPr>
          <w:b/>
          <w:sz w:val="18"/>
          <w:szCs w:val="18"/>
        </w:rPr>
        <w:t xml:space="preserve">Abbildung 8: </w:t>
      </w:r>
      <w:r>
        <w:rPr>
          <w:i/>
          <w:sz w:val="18"/>
          <w:szCs w:val="18"/>
        </w:rPr>
        <w:t xml:space="preserve">Klassische Analyse: Forest-Plot, Funnel-Plot &amp; Moderatoren (08-analyse-forest-funnel-subgruppen.png)</w:t>
      </w:r>
    </w:p>
    <w:p>
      <w:r>
        <w:t xml:space="preserve">Im oberen Bereich des Reiters </w:t>
      </w:r>
      <w:r>
        <w:rPr>
          <w:b/>
        </w:rPr>
        <w:t xml:space="preserve">Analyse</w:t>
      </w:r>
      <w:r>
        <w:t xml:space="preserve"> (</w:t>
      </w:r>
      <w:r>
        <w:rPr>
          <w:rFonts w:ascii="Courier New" w:hAnsi="Courier New" w:cs="Courier New"/>
        </w:rPr>
        <w:t xml:space="preserve">AnalysisPanel.tsx</w:t>
      </w:r>
      <w:r>
        <w:t xml:space="preserve">) stehen vier Modell-Tabs bereit:</w:t>
      </w:r>
    </w:p>
    <w:p>
      <w:pPr>
        <w:numPr>
          <w:ilvl w:val="0"/>
          <w:numId w:val="2"/>
        </w:numPr>
      </w:pPr>
      <w:r>
        <w:rPr>
          <w:b/>
        </w:rPr>
        <w:t xml:space="preserve">Fixed-Effect (</w:t>
      </w:r>
      <w:r>
        <w:rPr>
          <w:rFonts w:ascii="Courier New" w:hAnsi="Courier New" w:cs="Courier New"/>
        </w:rPr>
        <w:t xml:space="preserve">fe</w:t>
      </w:r>
      <w:r>
        <w:rPr>
          <w:b/>
        </w:rPr>
        <w:t xml:space="preserve">):</w:t>
      </w:r>
      <w:r>
        <w:t xml:space="preserve"> Nimmt an, dass alle Studien exakt denselben wahren Effekt θ teilen und Unterschiede nur durch Stichprobenfehler v_i entstehen (Gewicht w_i = 1/v_i). Nur sinnvoll bei nahezu identischen Replikationsstudien.</w:t>
      </w:r>
    </w:p>
    <w:p>
      <w:pPr>
        <w:numPr>
          <w:ilvl w:val="0"/>
          <w:numId w:val="2"/>
        </w:numPr>
      </w:pPr>
      <w:r>
        <w:rPr>
          <w:b/>
        </w:rPr>
        <w:t xml:space="preserve">Random-Effects DerSimonian-Laird (</w:t>
      </w:r>
      <w:r>
        <w:rPr>
          <w:rFonts w:ascii="Courier New" w:hAnsi="Courier New" w:cs="Courier New"/>
        </w:rPr>
        <w:t xml:space="preserve">re-dl</w:t>
      </w:r>
      <w:r>
        <w:rPr>
          <w:b/>
        </w:rPr>
        <w:t xml:space="preserve">):</w:t>
      </w:r>
      <w:r>
        <w:t xml:space="preserve"> Klassischer Momentenschätzer für die Zwischen-Studien-Varianz τ² (Gewicht w_i^* = 1/v_i + τ²). Nützlich zum Vergleich mit älteren Übersichtsarbeiten.</w:t>
      </w:r>
    </w:p>
    <w:p>
      <w:pPr>
        <w:numPr>
          <w:ilvl w:val="0"/>
          <w:numId w:val="2"/>
        </w:numPr>
      </w:pPr>
      <w:r>
        <w:rPr>
          <w:b/>
        </w:rPr>
        <w:t xml:space="preserve">Random-Effects REML + Knapp-Hartung (</w:t>
      </w:r>
      <w:r>
        <w:rPr>
          <w:rFonts w:ascii="Courier New" w:hAnsi="Courier New" w:cs="Courier New"/>
        </w:rPr>
        <w:t xml:space="preserve">re-reml</w:t>
      </w:r>
      <w:r>
        <w:rPr>
          <w:b/>
        </w:rPr>
        <w:t xml:space="preserve">, Standard für unabhängige Effekte):</w:t>
      </w:r>
      <w:r>
        <w:t xml:space="preserve"> Schätzt τ² über </w:t>
      </w:r>
      <w:r>
        <w:rPr>
          <w:b/>
        </w:rPr>
        <w:t xml:space="preserve">Restricted Maximum Likelihood (REML)</w:t>
      </w:r>
      <w:r>
        <w:t xml:space="preserve"> und berechnet das Konfidenzintervall mit der </w:t>
      </w:r>
      <w:r>
        <w:rPr>
          <w:b/>
        </w:rPr>
        <w:t xml:space="preserve">Knapp-Hartung-Adjustierung</w:t>
      </w:r>
      <w:r>
        <w:t xml:space="preserve"> über die t-Verteilung mit df = k - 1 Freiheitsgraden (Veroniki et al. 2016; Cochrane-Empfehlung).</w:t>
      </w:r>
    </w:p>
    <w:p>
      <w:pPr>
        <w:numPr>
          <w:ilvl w:val="0"/>
          <w:numId w:val="2"/>
        </w:numPr>
      </w:pPr>
      <w:r>
        <w:rPr>
          <w:b/>
        </w:rPr>
        <w:t xml:space="preserve">Drei-Ebenen-Modell in R (</w:t>
      </w:r>
      <w:r>
        <w:rPr>
          <w:rFonts w:ascii="Courier New" w:hAnsi="Courier New" w:cs="Courier New"/>
        </w:rPr>
        <w:t xml:space="preserve">Drei-Ebenen (R)</w:t>
      </w:r>
      <w:r>
        <w:rPr>
          <w:b/>
        </w:rPr>
        <w:t xml:space="preserve">):</w:t>
      </w:r>
      <w:r>
        <w:t xml:space="preserve"> Sobald Studien </w:t>
      </w:r>
      <w:r>
        <w:rPr>
          <w:b/>
        </w:rPr>
        <w:t xml:space="preserve">mehrere Effektgrößen</w:t>
      </w:r>
      <w:r>
        <w:t xml:space="preserve"> berichten (z. B. mehrere Tests, Zeitpunkte oder Subskalen aus derselben Stichprobe — wie in Projekt 9 mit $107$ Effektgrößen aus $35$ Studien), verletzt ein 2-Ebenen-Modell die Unabhängigkeitsannahme!</w:t>
      </w:r>
    </w:p>
    <w:p>
      <w:pPr>
        <w:pBdr>
          <w:bottom w:val="single" w:sz="6" w:space="1" w:color="B4B4B4"/>
        </w:pBdr>
      </w:pPr>
    </w:p>
    <w:p>
      <w:pPr>
        <w:pStyle w:val="Ueberschrift4"/>
      </w:pPr>
      <w:r>
        <w:t xml:space="preserve">6.2 Drei-Ebenen-Meta-Analyse (</w:t>
      </w:r>
      <w:r>
        <w:rPr>
          <w:rFonts w:ascii="Courier New" w:hAnsi="Courier New" w:cs="Courier New"/>
        </w:rPr>
        <w:t xml:space="preserve">metafor::rma.mv</w:t>
      </w:r>
      <w:r>
        <w:t xml:space="preserve">) mit robuster Varianzschätzung (</w:t>
      </w:r>
      <w:r>
        <w:rPr>
          <w:rFonts w:ascii="Courier New" w:hAnsi="Courier New" w:cs="Courier New"/>
        </w:rPr>
        <w:t xml:space="preserve">clubSandwich</w:t>
      </w:r>
      <w:r>
        <w:t xml:space="preserve"> CR2)</w:t>
      </w:r>
    </w:p>
    <w:p>
      <w:pPr>
        <w:jc w:val="center"/>
        <w:spacing w:before="120" w:after="60" w:line="240" w:lineRule="auto"/>
      </w:pPr>
      <w:r>
        <w:drawing>
          <wp:inline distT="0" distB="0" distL="0" distR="0">
            <wp:extent cx="5759450" cy="3671649"/>
            <wp:docPr id="9" name="Abbildung 9"/>
            <wp:cNvGraphicFramePr>
              <a:graphicFrameLocks noChangeAspect="1"/>
            </wp:cNvGraphicFramePr>
            <a:graphic>
              <a:graphicData uri="http://schemas.openxmlformats.org/drawingml/2006/picture">
                <pic:pic>
                  <pic:nvPicPr>
                    <pic:cNvPr id="9" name="image9.png"/>
                    <pic:cNvPicPr/>
                  </pic:nvPicPr>
                  <pic:blipFill>
                    <a:blip r:embed="rIdBild9"/>
                    <a:stretch>
                      <a:fillRect/>
                    </a:stretch>
                  </pic:blipFill>
                  <pic:spPr>
                    <a:xfrm>
                      <a:off x="0" y="0"/>
                      <a:ext cx="5759450" cy="3671649"/>
                    </a:xfrm>
                    <a:prstGeom prst="rect">
                      <a:avLst/>
                    </a:prstGeom>
                  </pic:spPr>
                </pic:pic>
              </a:graphicData>
            </a:graphic>
          </wp:inline>
        </w:drawing>
      </w:r>
    </w:p>
    <w:p>
      <w:r>
        <w:rPr>
          <w:b/>
          <w:sz w:val="18"/>
          <w:szCs w:val="18"/>
        </w:rPr>
        <w:t xml:space="preserve">Abbildung 9: </w:t>
      </w:r>
      <w:r>
        <w:rPr>
          <w:i/>
          <w:sz w:val="18"/>
          <w:szCs w:val="18"/>
        </w:rPr>
        <w:t xml:space="preserve">Drei-Ebenen-RVE-Analyse mit CR2 (09-analyse-3level-rve-cr2.png)</w:t>
      </w:r>
    </w:p>
    <w:p>
      <w:r>
        <w:t xml:space="preserve">Über die </w:t>
      </w:r>
      <w:r>
        <w:rPr>
          <w:b/>
        </w:rPr>
        <w:t xml:space="preserve">R-Bridge</w:t>
      </w:r>
      <w:r>
        <w:t xml:space="preserve"> (</w:t>
      </w:r>
      <w:r>
        <w:rPr>
          <w:rFonts w:ascii="Courier New" w:hAnsi="Courier New" w:cs="Courier New"/>
        </w:rPr>
        <w:t xml:space="preserve">lib/r-service.ts</w:t>
      </w:r>
      <w:r>
        <w:t xml:space="preserve">, </w:t>
      </w:r>
      <w:r>
        <w:rPr>
          <w:rFonts w:ascii="Courier New" w:hAnsi="Courier New" w:cs="Courier New"/>
        </w:rPr>
        <w:t xml:space="preserve">r/analyse.R</w:t>
      </w:r>
      <w:r>
        <w:t xml:space="preserve">) schätzt EvidenzWerk ein echtes </w:t>
      </w:r>
      <w:r>
        <w:rPr>
          <w:b/>
        </w:rPr>
        <w:t xml:space="preserve">hierarchisches Drei-Ebenen-Modell nach Cheung (2014) und Assink &amp; Wibbelink (2016)</w:t>
      </w:r>
      <w:r>
        <w:t xml:space="preserve"> mittels </w:t>
      </w:r>
      <w:r>
        <w:rPr>
          <w:rFonts w:ascii="Courier New" w:hAnsi="Courier New" w:cs="Courier New"/>
        </w:rPr>
        <w:t xml:space="preserve">metafor::rma.mv(yi, V, random = ~ 1 | study_id / effect_id, method = "REML")</w:t>
      </w:r>
      <w:r>
        <w:t xml:space="preserve"> kombiniert mit </w:t>
      </w:r>
      <w:r>
        <w:rPr>
          <w:b/>
        </w:rPr>
        <w:t xml:space="preserve">Cluster-Robuster Varianzschätzung (</w:t>
      </w:r>
      <w:r>
        <w:rPr>
          <w:rFonts w:ascii="Courier New" w:hAnsi="Courier New" w:cs="Courier New"/>
        </w:rPr>
        <w:t xml:space="preserve">clubSandwich::vcovCR(..., type = "CR2")</w:t>
      </w:r>
      <w:r>
        <w:rPr>
          <w:b/>
        </w:rPr>
        <w:t xml:space="preserve"> und Satterthwaite-Freiheitsgraden)</w:t>
      </w:r>
      <w:r>
        <w:t xml:space="preserve"> nach Pustejovsky &amp; Tipton (2018):</w:t>
      </w:r>
    </w:p>
    <w:p>
      <w:r>
        <w:t xml:space="preserve">y (ij) = µ + u_j + e (ij) + ε (ij)</w:t>
      </w:r>
    </w:p>
    <w:p>
      <w:pPr>
        <w:numPr>
          <w:ilvl w:val="0"/>
          <w:numId w:val="1"/>
        </w:numPr>
      </w:pPr>
      <w:r>
        <w:rPr>
          <w:b/>
        </w:rPr>
        <w:t xml:space="preserve">Ebene 1 (ε (ij) ~ mathcalN(0, v (ij))):</w:t>
      </w:r>
      <w:r>
        <w:t xml:space="preserve"> Stichprobenfehler des einzelnen Effekts i in Studie j (innerhalb der Studie mit ρ = 0,60 korreliert modelliert, </w:t>
      </w:r>
      <w:r>
        <w:rPr>
          <w:rFonts w:ascii="Courier New" w:hAnsi="Courier New" w:cs="Courier New"/>
        </w:rPr>
        <w:t xml:space="preserve">impute_covariance_matrix</w:t>
      </w:r>
      <w:r>
        <w:t xml:space="preserve">).</w:t>
      </w:r>
    </w:p>
    <w:p>
      <w:pPr>
        <w:numPr>
          <w:ilvl w:val="0"/>
          <w:numId w:val="1"/>
        </w:numPr>
      </w:pPr>
      <w:r>
        <w:rPr>
          <w:b/>
        </w:rPr>
        <w:t xml:space="preserve">Ebene 2 (e (ij) ~ mathcalN(0, τ² (within))):</w:t>
      </w:r>
      <w:r>
        <w:t xml:space="preserve"> Wahre Effektstreuung </w:t>
      </w:r>
      <w:r>
        <w:rPr>
          <w:b/>
        </w:rPr>
        <w:t xml:space="preserve">innerhalb derselben Studie</w:t>
      </w:r>
      <w:r>
        <w:t xml:space="preserve"> (z. B. zwischen verschiedenen Endpunkten oder Messzeitpunkten einer Studie).</w:t>
      </w:r>
    </w:p>
    <w:p>
      <w:pPr>
        <w:numPr>
          <w:ilvl w:val="0"/>
          <w:numId w:val="1"/>
        </w:numPr>
      </w:pPr>
      <w:r>
        <w:rPr>
          <w:b/>
        </w:rPr>
        <w:t xml:space="preserve">Ebene 3 (u_j ~ mathcalN(0, τ² (between))):</w:t>
      </w:r>
      <w:r>
        <w:t xml:space="preserve"> Wahre Effektstreuung </w:t>
      </w:r>
      <w:r>
        <w:rPr>
          <w:b/>
        </w:rPr>
        <w:t xml:space="preserve">zwischen den verschiedenen Studien</w:t>
      </w:r>
      <w:r>
        <w:t xml:space="preserve">.</w:t>
      </w:r>
    </w:p>
    <w:p>
      <w:pPr>
        <w:numPr>
          <w:ilvl w:val="0"/>
          <w:numId w:val="1"/>
        </w:numPr>
      </w:pPr>
      <w:r>
        <w:rPr>
          <w:b/>
        </w:rPr>
        <w:t xml:space="preserve">I²-Zerlegung nach Cheung (2014):</w:t>
      </w:r>
    </w:p>
    <w:p>
      <w:r>
        <w:t xml:space="preserve">EvidenzWerk zerlegt die Gesamtheterogenität I² (gesamt) (im Screenshot oben: </w:t>
      </w:r>
      <w:r>
        <w:rPr>
          <w:b/>
        </w:rPr>
        <w:t xml:space="preserve">92,0 %</w:t>
      </w:r>
      <w:r>
        <w:t xml:space="preserve">) exakt in den Anteil zwischen Studien (</w:t>
      </w:r>
      <w:r>
        <w:rPr>
          <w:b/>
        </w:rPr>
        <w:t xml:space="preserve">I² (between) = 59,5 %</w:t>
      </w:r>
      <w:r>
        <w:t xml:space="preserve">) und den Anteil zwischen Effekten innerhalb von Studien (</w:t>
      </w:r>
      <w:r>
        <w:rPr>
          <w:b/>
        </w:rPr>
        <w:t xml:space="preserve">I² (within) = 32,5 %</w:t>
      </w:r>
      <w:r>
        <w:t xml:space="preserve">).</w:t>
      </w:r>
    </w:p>
    <w:p>
      <w:pPr>
        <w:numPr>
          <w:ilvl w:val="0"/>
          <w:numId w:val="1"/>
        </w:numPr>
      </w:pPr>
      <w:r>
        <w:rPr>
          <w:b/>
        </w:rPr>
        <w:t xml:space="preserve">Das 95-%-Prädiktionsintervall (</w:t>
      </w:r>
      <w:r>
        <w:rPr>
          <w:rFonts w:ascii="Courier New" w:hAnsi="Courier New" w:cs="Courier New"/>
        </w:rPr>
        <w:t xml:space="preserve">[-0,97; 2,39]</w:t>
      </w:r>
      <w:r>
        <w:rPr>
          <w:b/>
        </w:rPr>
        <w:t xml:space="preserve"> bei df = 30,2):</w:t>
      </w:r>
    </w:p>
    <w:p>
      <w:pPr>
        <w:pStyle w:val="Zitat"/>
      </w:pPr>
      <w:r>
        <w:t xml:space="preserve">[!IMPORTANT] </w:t>
      </w:r>
      <w:r>
        <w:rPr>
          <w:b/>
        </w:rPr>
        <w:t xml:space="preserve">Unterschied zwischen Konfidenzintervall und Prädiktionsintervall (Riley et al. 2011; IntHout et al. 2016):</w:t>
      </w:r>
      <w:r>
        <w:t xml:space="preserve"> - Das </w:t>
      </w:r>
      <w:r>
        <w:rPr>
          <w:b/>
        </w:rPr>
        <w:t xml:space="preserve">95-%-Konfidenzintervall (</w:t>
      </w:r>
      <w:r>
        <w:rPr>
          <w:rFonts w:ascii="Courier New" w:hAnsi="Courier New" w:cs="Courier New"/>
        </w:rPr>
        <w:t xml:space="preserve">[0,43; 0,99]</w:t>
      </w:r>
      <w:r>
        <w:rPr>
          <w:b/>
        </w:rPr>
        <w:t xml:space="preserve">)</w:t>
      </w:r>
      <w:r>
        <w:t xml:space="preserve"> gibt nur an, wie genau der </w:t>
      </w:r>
      <w:r>
        <w:rPr>
          <w:i/>
        </w:rPr>
        <w:t xml:space="preserve">Durchschnittseffekt</w:t>
      </w:r>
      <w:r>
        <w:t xml:space="preserve"> über alle bisherigen Studien geschätzt ist. - Das </w:t>
      </w:r>
      <w:r>
        <w:rPr>
          <w:b/>
        </w:rPr>
        <w:t xml:space="preserve">95-%-Prädiktionsintervall (</w:t>
      </w:r>
      <w:r>
        <w:rPr>
          <w:rFonts w:ascii="Courier New" w:hAnsi="Courier New" w:cs="Courier New"/>
        </w:rPr>
        <w:t xml:space="preserve">[-0,97; 2,39]</w:t>
      </w:r>
      <w:r>
        <w:rPr>
          <w:b/>
        </w:rPr>
        <w:t xml:space="preserve">)</w:t>
      </w:r>
      <w:r>
        <w:t xml:space="preserve"> bezieht zusätzlich die echte Streuung τ² (between) + τ² (within) ein und beantwortet die Frage für die Praxis: </w:t>
      </w:r>
      <w:r>
        <w:rPr>
          <w:i/>
        </w:rPr>
        <w:t xml:space="preserve">„In welchem Bereich wird der wahre Effekt einer einzelnen zukünftigen Studie oder klinischen Anwendung mit 95 % Wahrscheinlichkeit liegen?“</w:t>
      </w:r>
      <w:r>
        <w:t xml:space="preserve"> Schließt das Prädiktionsintervall die $0$ ein (wie hier von -0,97 bis +2,39), wirkt die Intervention zwar im Mittel deutlich positiv (g = 0,71), kann aber in ungünstigen Settings auch wirkungslos sein — genau deshalb verlangt GRADE hier die Prüfung von Moderatoren!</w:t>
      </w:r>
    </w:p>
    <w:p>
      <w:pPr>
        <w:pBdr>
          <w:bottom w:val="single" w:sz="6" w:space="1" w:color="B4B4B4"/>
        </w:pBdr>
      </w:pPr>
    </w:p>
    <w:p>
      <w:pPr>
        <w:pStyle w:val="Ueberschrift4"/>
      </w:pPr>
      <w:r>
        <w:t xml:space="preserve">6.3 Die 5-fach Publikationsbias-Suite (Small-Study Effects &amp; p-Hacking)</w:t>
      </w:r>
    </w:p>
    <w:p>
      <w:pPr>
        <w:jc w:val="center"/>
        <w:spacing w:before="120" w:after="60" w:line="240" w:lineRule="auto"/>
      </w:pPr>
      <w:r>
        <w:drawing>
          <wp:inline distT="0" distB="0" distL="0" distR="0">
            <wp:extent cx="5759450" cy="3671649"/>
            <wp:docPr id="10" name="Abbildung 10"/>
            <wp:cNvGraphicFramePr>
              <a:graphicFrameLocks noChangeAspect="1"/>
            </wp:cNvGraphicFramePr>
            <a:graphic>
              <a:graphicData uri="http://schemas.openxmlformats.org/drawingml/2006/picture">
                <pic:pic>
                  <pic:nvPicPr>
                    <pic:cNvPr id="10" name="image10.png"/>
                    <pic:cNvPicPr/>
                  </pic:nvPicPr>
                  <pic:blipFill>
                    <a:blip r:embed="rIdBild10"/>
                    <a:stretch>
                      <a:fillRect/>
                    </a:stretch>
                  </pic:blipFill>
                  <pic:spPr>
                    <a:xfrm>
                      <a:off x="0" y="0"/>
                      <a:ext cx="5759450" cy="3671649"/>
                    </a:xfrm>
                    <a:prstGeom prst="rect">
                      <a:avLst/>
                    </a:prstGeom>
                  </pic:spPr>
                </pic:pic>
              </a:graphicData>
            </a:graphic>
          </wp:inline>
        </w:drawing>
      </w:r>
    </w:p>
    <w:p>
      <w:r>
        <w:rPr>
          <w:b/>
          <w:sz w:val="18"/>
          <w:szCs w:val="18"/>
        </w:rPr>
        <w:t xml:space="preserve">Abbildung 10: </w:t>
      </w:r>
      <w:r>
        <w:rPr>
          <w:i/>
          <w:sz w:val="18"/>
          <w:szCs w:val="18"/>
        </w:rPr>
        <w:t xml:space="preserve">Publikationsbias-Suite (10-analyse-publikationsbias-suite.png)</w:t>
      </w:r>
    </w:p>
    <w:p>
      <w:r>
        <w:t xml:space="preserve">Weil jeder einzelne Test auf Publikationsbias blinde Flecken hat (insbesondere bei hoher Heterogenität τ²), rechnet EvidenzWerk in </w:t>
      </w:r>
      <w:r>
        <w:rPr>
          <w:rFonts w:ascii="Courier New" w:hAnsi="Courier New" w:cs="Courier New"/>
        </w:rPr>
        <w:t xml:space="preserve">r/analyse.R</w:t>
      </w:r>
      <w:r>
        <w:t xml:space="preserve"> fünf komplementäre Verfahren auf Knopfdruck:</w:t>
      </w:r>
    </w:p>
    <w:p>
      <w:pPr>
        <w:numPr>
          <w:ilvl w:val="0"/>
          <w:numId w:val="2"/>
        </w:numPr>
      </w:pPr>
      <w:r>
        <w:rPr>
          <w:b/>
        </w:rPr>
        <w:t xml:space="preserve">3-Ebenen-Egger-Regression (</w:t>
      </w:r>
      <w:r>
        <w:rPr>
          <w:rFonts w:ascii="Courier New" w:hAnsi="Courier New" w:cs="Courier New"/>
        </w:rPr>
        <w:t xml:space="preserve">Egger (3-Ebene)</w:t>
      </w:r>
      <w:r>
        <w:rPr>
          <w:b/>
        </w:rPr>
        <w:t xml:space="preserve">):</w:t>
      </w:r>
      <w:r>
        <w:t xml:space="preserve"> Regressiert im 3-Ebenen-CR2-Modell die Effektgröße auf ihren Standardfehler (y (ij) = β₀ + β₁ · SE (ij)). Ein signifikantes β₁ deutet auf </w:t>
      </w:r>
      <w:r>
        <w:rPr>
          <w:b/>
        </w:rPr>
        <w:t xml:space="preserve">Small-Study Effects</w:t>
      </w:r>
      <w:r>
        <w:t xml:space="preserve"> (kleine Studien berichten extremere Effekte als große) hin.</w:t>
      </w:r>
    </w:p>
    <w:p>
      <w:pPr>
        <w:numPr>
          <w:ilvl w:val="0"/>
          <w:numId w:val="2"/>
        </w:numPr>
      </w:pPr>
      <w:r>
        <w:rPr>
          <w:b/>
        </w:rPr>
        <w:t xml:space="preserve">Trim-and-Fill nach Duval &amp; Tweedie (2000):</w:t>
      </w:r>
      <w:r>
        <w:t xml:space="preserve"> Schätzt auf Basis der Symmetrie des Funnel-Plots die Anzahl k₀ mutmaßlich fehlender Studien auf der unterrepräsentierten Seite und berechnet einen um diese gespiegelten Studien adjustierten Gesamtschätzer.</w:t>
      </w:r>
    </w:p>
    <w:p>
      <w:pPr>
        <w:numPr>
          <w:ilvl w:val="0"/>
          <w:numId w:val="2"/>
        </w:numPr>
      </w:pPr>
      <w:r>
        <w:rPr>
          <w:b/>
        </w:rPr>
        <w:t xml:space="preserve">PET-PEESE nach Stanley &amp; Doucouliagos (2014):</w:t>
      </w:r>
    </w:p>
    <w:p>
      <w:pPr>
        <w:numPr>
          <w:ilvl w:val="0"/>
          <w:numId w:val="1"/>
        </w:numPr>
      </w:pPr>
      <w:r>
        <w:rPr>
          <w:b/>
        </w:rPr>
        <w:t xml:space="preserve">PET (Precision-Effect Test):</w:t>
      </w:r>
      <w:r>
        <w:t xml:space="preserve"> Regressiert y_i auf SE_i; der Achsenabschnitt β₀ ist der geschätzte Effekt einer hypothetischen Studie mit unendlicher Stichprobe (SE → 0).</w:t>
      </w:r>
    </w:p>
    <w:p>
      <w:pPr>
        <w:numPr>
          <w:ilvl w:val="0"/>
          <w:numId w:val="1"/>
        </w:numPr>
      </w:pPr>
      <w:r>
        <w:rPr>
          <w:b/>
        </w:rPr>
        <w:t xml:space="preserve">PEESE (Precision-Effect Estimate with Standard Error):</w:t>
      </w:r>
      <w:r>
        <w:t xml:space="preserve"> Regressiert y_i auf die Varianz v_i = SE_i². Ist der PET-Schätzer signifikant von Null verschieden (p &lt; 0,10), wählt die Entscheidungsregel automatisch den weniger verzerrten PEESE-Schätzer.</w:t>
      </w:r>
    </w:p>
    <w:p>
      <w:pPr>
        <w:numPr>
          <w:ilvl w:val="0"/>
          <w:numId w:val="2"/>
        </w:numPr>
      </w:pPr>
      <w:r>
        <w:rPr>
          <w:b/>
        </w:rPr>
        <w:t xml:space="preserve">p-curve-Analyse nach Simonsohn, Nelson &amp; Simmons (2014):</w:t>
      </w:r>
    </w:p>
    <w:p>
      <w:r>
        <w:t xml:space="preserve">Untersucht ausschließlich die Verteilung der statistisch signifikanten p-Werte (p &lt; 0,05):</w:t>
      </w:r>
    </w:p>
    <w:p>
      <w:pPr>
        <w:numPr>
          <w:ilvl w:val="0"/>
          <w:numId w:val="1"/>
        </w:numPr>
      </w:pPr>
      <w:r>
        <w:t xml:space="preserve">Liegt ein </w:t>
      </w:r>
      <w:r>
        <w:rPr>
          <w:b/>
        </w:rPr>
        <w:t xml:space="preserve">echter Effekt (Evidenzwert)</w:t>
      </w:r>
      <w:r>
        <w:t xml:space="preserve"> vor, müssen sehr kleine p-Werte (p &lt; 0,025) deutlich häufiger sein als knapp signifikante (0,025 &lt; p &lt; 0,05) arrow </w:t>
      </w:r>
      <w:r>
        <w:rPr>
          <w:b/>
        </w:rPr>
        <w:t xml:space="preserve">Rechtsschiefe</w:t>
      </w:r>
      <w:r>
        <w:t xml:space="preserve"> (im Screenshot oben: $22$ signifikante Studien, Binomial p = 0,008, Stouffer p &lt; 0,001 arrow starker Beleg für echten Effekt statt p-Hacking!).</w:t>
      </w:r>
    </w:p>
    <w:p>
      <w:pPr>
        <w:numPr>
          <w:ilvl w:val="0"/>
          <w:numId w:val="1"/>
        </w:numPr>
      </w:pPr>
      <w:r>
        <w:t xml:space="preserve">Wurde hingegen </w:t>
      </w:r>
      <w:r>
        <w:rPr>
          <w:b/>
        </w:rPr>
        <w:t xml:space="preserve">p-Hacking</w:t>
      </w:r>
      <w:r>
        <w:t xml:space="preserve"> betrieben, häufen sich die p-Werte knapp unter 0,05 (Linksschiefe).</w:t>
      </w:r>
    </w:p>
    <w:p>
      <w:pPr>
        <w:numPr>
          <w:ilvl w:val="0"/>
          <w:numId w:val="2"/>
        </w:numPr>
      </w:pPr>
      <w:r>
        <w:rPr>
          <w:rFonts w:ascii="Courier New" w:hAnsi="Courier New" w:cs="Courier New"/>
        </w:rPr>
        <w:t xml:space="preserve">p-uniform*</w:t>
      </w:r>
      <w:r>
        <w:rPr>
          <w:b/>
        </w:rPr>
        <w:t xml:space="preserve"> nach van Aert &amp; van Assen (2019):</w:t>
      </w:r>
    </w:p>
    <w:p>
      <w:r>
        <w:t xml:space="preserve">Maximum-Likelihood-Schätzer auf Basis der bedingten Verteilung aller Effektgrößen (signifikant wie nicht-signifikant), der im Gegensatz zum klassischen Trim-and-Fill auch bei starker Heterogenität τ² unverzerrte Effekt- und Heterogenitätsschätzungen liefert.</w:t>
      </w:r>
    </w:p>
    <w:p>
      <w:pPr>
        <w:pBdr>
          <w:bottom w:val="single" w:sz="6" w:space="1" w:color="B4B4B4"/>
        </w:pBdr>
      </w:pPr>
    </w:p>
    <w:p>
      <w:pPr>
        <w:pStyle w:val="Ueberschrift3"/>
      </w:pPr>
      <w:r>
        <w:t xml:space="preserve">7. Medizinische &amp; Methodische Spezialmodule: NMA und DTA / QUADAS-2</w:t>
      </w:r>
    </w:p>
    <w:p>
      <w:pPr>
        <w:pStyle w:val="Ueberschrift4"/>
      </w:pPr>
      <w:r>
        <w:t xml:space="preserve">7.1 Frequentistische Netzwerk-Meta-Analyse (NMA nach Rücker 2012)</w:t>
      </w:r>
    </w:p>
    <w:p>
      <w:pPr>
        <w:jc w:val="center"/>
        <w:spacing w:before="120" w:after="60" w:line="240" w:lineRule="auto"/>
      </w:pPr>
      <w:r>
        <w:drawing>
          <wp:inline distT="0" distB="0" distL="0" distR="0">
            <wp:extent cx="5759450" cy="3671649"/>
            <wp:docPr id="11" name="Abbildung 11"/>
            <wp:cNvGraphicFramePr>
              <a:graphicFrameLocks noChangeAspect="1"/>
            </wp:cNvGraphicFramePr>
            <a:graphic>
              <a:graphicData uri="http://schemas.openxmlformats.org/drawingml/2006/picture">
                <pic:pic>
                  <pic:nvPicPr>
                    <pic:cNvPr id="11" name="image11.png"/>
                    <pic:cNvPicPr/>
                  </pic:nvPicPr>
                  <pic:blipFill>
                    <a:blip r:embed="rIdBild11"/>
                    <a:stretch>
                      <a:fillRect/>
                    </a:stretch>
                  </pic:blipFill>
                  <pic:spPr>
                    <a:xfrm>
                      <a:off x="0" y="0"/>
                      <a:ext cx="5759450" cy="3671649"/>
                    </a:xfrm>
                    <a:prstGeom prst="rect">
                      <a:avLst/>
                    </a:prstGeom>
                  </pic:spPr>
                </pic:pic>
              </a:graphicData>
            </a:graphic>
          </wp:inline>
        </w:drawing>
      </w:r>
    </w:p>
    <w:p>
      <w:r>
        <w:rPr>
          <w:b/>
          <w:sz w:val="18"/>
          <w:szCs w:val="18"/>
        </w:rPr>
        <w:t xml:space="preserve">Abbildung 11: </w:t>
      </w:r>
      <w:r>
        <w:rPr>
          <w:i/>
          <w:sz w:val="18"/>
          <w:szCs w:val="18"/>
        </w:rPr>
        <w:t xml:space="preserve">Spezialmodul Netzwerk-Meta-Analyse (NMA) (11-spezialmodul-nma.png)</w:t>
      </w:r>
    </w:p>
    <w:p>
      <w:r>
        <w:rPr>
          <w:b/>
        </w:rPr>
        <w:t xml:space="preserve">Wann setzt man eine Netzwerk-Meta-Analyse (</w:t>
      </w:r>
      <w:r>
        <w:rPr>
          <w:rFonts w:ascii="Courier New" w:hAnsi="Courier New" w:cs="Courier New"/>
        </w:rPr>
        <w:t xml:space="preserve">lib/nma.ts</w:t>
      </w:r>
      <w:r>
        <w:rPr>
          <w:b/>
        </w:rPr>
        <w:t xml:space="preserve">, </w:t>
      </w:r>
      <w:r>
        <w:rPr>
          <w:rFonts w:ascii="Courier New" w:hAnsi="Courier New" w:cs="Courier New"/>
        </w:rPr>
        <w:t xml:space="preserve">SpezialanalysePanel.tsx</w:t>
      </w:r>
      <w:r>
        <w:rPr>
          <w:b/>
        </w:rPr>
        <w:t xml:space="preserve">) ein?</w:t>
      </w:r>
      <w:r>
        <w:t xml:space="preserve"> Sobald es in einem Forschungsgebiet </w:t>
      </w:r>
      <w:r>
        <w:rPr>
          <w:b/>
        </w:rPr>
        <w:t xml:space="preserve">mehr als zwei konkurrierende Interventionen</w:t>
      </w:r>
      <w:r>
        <w:t xml:space="preserve"> gibt (A, B, C, D, …, z. B. verschiedene Wirkstoffklassen in der Medizin oder </w:t>
      </w:r>
      <w:r>
        <w:rPr>
          <w:i/>
        </w:rPr>
        <w:t xml:space="preserve">LLM-Tutor</w:t>
      </w:r>
      <w:r>
        <w:t xml:space="preserve"> vs. </w:t>
      </w:r>
      <w:r>
        <w:rPr>
          <w:i/>
        </w:rPr>
        <w:t xml:space="preserve">GenAI-Assistent</w:t>
      </w:r>
      <w:r>
        <w:t xml:space="preserve"> vs. </w:t>
      </w:r>
      <w:r>
        <w:rPr>
          <w:i/>
        </w:rPr>
        <w:t xml:space="preserve">GenAI-Simulation</w:t>
      </w:r>
      <w:r>
        <w:t xml:space="preserve"> vs. </w:t>
      </w:r>
      <w:r>
        <w:rPr>
          <w:i/>
        </w:rPr>
        <w:t xml:space="preserve">Kontrolle</w:t>
      </w:r>
      <w:r>
        <w:t xml:space="preserve">), die in den Primärstudien nicht alle direkt gegeneinander getestet wurden.</w:t>
      </w:r>
    </w:p>
    <w:p>
      <w:r>
        <w:rPr>
          <w:b/>
        </w:rPr>
        <w:t xml:space="preserve">Wie funktioniert die Graph-Theoretische NMA nach Rücker (2012, </w:t>
      </w:r>
      <w:r>
        <w:rPr>
          <w:b/>
          <w:i/>
        </w:rPr>
        <w:t xml:space="preserve">Res Synth Methods</w:t>
      </w:r>
      <w:r>
        <w:rPr>
          <w:b/>
        </w:rPr>
        <w:t xml:space="preserve"> 3:312 — das Verfahren des R-Pakets </w:t>
      </w:r>
      <w:r>
        <w:rPr>
          <w:rFonts w:ascii="Courier New" w:hAnsi="Courier New" w:cs="Courier New"/>
        </w:rPr>
        <w:t xml:space="preserve">netmeta</w:t>
      </w:r>
      <w:r>
        <w:rPr>
          <w:b/>
        </w:rPr>
        <w:t xml:space="preserve">)?</w:t>
      </w:r>
    </w:p>
    <w:p>
      <w:pPr>
        <w:numPr>
          <w:ilvl w:val="0"/>
          <w:numId w:val="2"/>
        </w:numPr>
      </w:pPr>
      <w:r>
        <w:rPr>
          <w:b/>
        </w:rPr>
        <w:t xml:space="preserve">Kombination direkter und indirekter Evidenz:</w:t>
      </w:r>
      <w:r>
        <w:t xml:space="preserve"> Wurde Behandlung A gegen Kontrolle C getestet (hatθ (AC)^(dir)) und Behandlung B gegen C (hatθ (BC)^(dir)), liefert das Netzwerk auch ohne direkten Head-to-Head-Trial eine </w:t>
      </w:r>
      <w:r>
        <w:rPr>
          <w:b/>
        </w:rPr>
        <w:t xml:space="preserve">indirekte Schätzung</w:t>
      </w:r>
      <w:r>
        <w:t xml:space="preserve"> für A gegen B: hatθ (AB)^(ind) = hatθ (AC)^(dir) - hatθ (BC)^(dir). Existieren zusätzlich direkte Studien A vs. B, kombiniert die </w:t>
      </w:r>
      <w:r>
        <w:rPr>
          <w:b/>
        </w:rPr>
        <w:t xml:space="preserve">Moore-Penrose-Pseudoinverse L⁺ der gewichteten Graph-Laplace-Matrix L = B^top W B</w:t>
      </w:r>
      <w:r>
        <w:t xml:space="preserve"> sämtliche direkten und indirekten Pfade mit minimaler Varianz.</w:t>
      </w:r>
    </w:p>
    <w:p>
      <w:pPr>
        <w:numPr>
          <w:ilvl w:val="0"/>
          <w:numId w:val="2"/>
        </w:numPr>
      </w:pPr>
      <w:r>
        <w:rPr>
          <w:b/>
        </w:rPr>
        <w:t xml:space="preserve">Netzwerkgraph (SVG):</w:t>
      </w:r>
      <w:r>
        <w:t xml:space="preserve"> Die Knotengröße zeigt die Zahl der Vergleiche je Behandlung; die Strichstärke der Kanten zeigt die Zahl der direkten Studien zwischen zwei Behandlungen.</w:t>
      </w:r>
    </w:p>
    <w:p>
      <w:pPr>
        <w:numPr>
          <w:ilvl w:val="0"/>
          <w:numId w:val="2"/>
        </w:numPr>
      </w:pPr>
      <w:r>
        <w:rPr>
          <w:b/>
        </w:rPr>
        <w:t xml:space="preserve">P-Scores nach Rücker &amp; Schwarzer (2015, </w:t>
      </w:r>
      <w:r>
        <w:rPr>
          <w:b/>
          <w:i/>
        </w:rPr>
        <w:t xml:space="preserve">BMC Med Res Methodol</w:t>
      </w:r>
      <w:r>
        <w:rPr>
          <w:b/>
        </w:rPr>
        <w:t xml:space="preserve"> 15:58):</w:t>
      </w:r>
    </w:p>
    <w:p>
      <w:r>
        <w:t xml:space="preserve">Das frequentistische Äquivalent zu SUCRA: Ein </w:t>
      </w:r>
      <w:r>
        <w:rPr>
          <w:b/>
        </w:rPr>
        <w:t xml:space="preserve">P-Score von 0,94 (94 %)</w:t>
      </w:r>
      <w:r>
        <w:t xml:space="preserve"> bedeutet, dass diese Intervention mit 94 % Sicherheit besser abschneidet als eine zufällig ausgewählte konkurrierende Behandlung im Netzwerk.</w:t>
      </w:r>
    </w:p>
    <w:p>
      <w:pPr>
        <w:numPr>
          <w:ilvl w:val="0"/>
          <w:numId w:val="2"/>
        </w:numPr>
      </w:pPr>
      <w:r>
        <w:rPr>
          <w:b/>
        </w:rPr>
        <w:t xml:space="preserve">League-Table (Paarvergleichs-Matrix):</w:t>
      </w:r>
    </w:p>
    <w:p>
      <w:pPr>
        <w:numPr>
          <w:ilvl w:val="0"/>
          <w:numId w:val="1"/>
        </w:numPr>
      </w:pPr>
      <w:r>
        <w:rPr>
          <w:b/>
        </w:rPr>
        <w:t xml:space="preserve">Unteres Dreieck (grün hinterlegt):</w:t>
      </w:r>
      <w:r>
        <w:t xml:space="preserve"> Die aus dem gesamten Netzwerk geschätzten paarweisen Effekte hatθ (ij)^(NMA) mit 95-%-Konfidenzintervall.</w:t>
      </w:r>
    </w:p>
    <w:p>
      <w:pPr>
        <w:numPr>
          <w:ilvl w:val="0"/>
          <w:numId w:val="1"/>
        </w:numPr>
      </w:pPr>
      <w:r>
        <w:rPr>
          <w:b/>
        </w:rPr>
        <w:t xml:space="preserve">Oberes Dreieck:</w:t>
      </w:r>
      <w:r>
        <w:t xml:space="preserve"> Die rein </w:t>
      </w:r>
      <w:r>
        <w:rPr>
          <w:b/>
        </w:rPr>
        <w:t xml:space="preserve">direkten</w:t>
      </w:r>
      <w:r>
        <w:t xml:space="preserve"> Paarvergleiche hatθ (ij)^(dir) (falls es direkte Studien für dieses Paar gibt).</w:t>
      </w:r>
    </w:p>
    <w:p>
      <w:pPr>
        <w:numPr>
          <w:ilvl w:val="0"/>
          <w:numId w:val="2"/>
        </w:numPr>
      </w:pPr>
      <w:r>
        <w:rPr>
          <w:b/>
        </w:rPr>
        <w:t xml:space="preserve">Netzwerk-Inkonsistenzzerlegung (Q (total) = Q (het) + Q (inc)):</w:t>
      </w:r>
    </w:p>
    <w:p>
      <w:r>
        <w:t xml:space="preserve">Zerlegt Cochrans Q in die Streuung </w:t>
      </w:r>
      <w:r>
        <w:rPr>
          <w:i/>
        </w:rPr>
        <w:t xml:space="preserve">innerhalb</w:t>
      </w:r>
      <w:r>
        <w:t xml:space="preserve"> gleicher Paarvergleiche (Q (het)) und den Widerspruch zwischen direkter und indirekter Evidenz (Q (inc), </w:t>
      </w:r>
      <w:r>
        <w:rPr>
          <w:b/>
        </w:rPr>
        <w:t xml:space="preserve">Loop-Inkonsistenz</w:t>
      </w:r>
      <w:r>
        <w:t xml:space="preserve">). Ist p(Q (inc)) &gt; 0,05, ist das Netzwerk konsistent (Transitivitätsannahme erfüllt).</w:t>
      </w:r>
    </w:p>
    <w:p>
      <w:pPr>
        <w:pBdr>
          <w:bottom w:val="single" w:sz="6" w:space="1" w:color="B4B4B4"/>
        </w:pBdr>
      </w:pPr>
    </w:p>
    <w:p>
      <w:pPr>
        <w:pStyle w:val="Ueberschrift4"/>
      </w:pPr>
      <w:r>
        <w:t xml:space="preserve">7.2 Diagnostische Testgüte-Meta-Analyse (DTA nach Reitsma et al. 2005 / HSROC &amp; QUADAS-2)</w:t>
      </w:r>
    </w:p>
    <w:p>
      <w:pPr>
        <w:jc w:val="center"/>
        <w:spacing w:before="120" w:after="60" w:line="240" w:lineRule="auto"/>
      </w:pPr>
      <w:r>
        <w:drawing>
          <wp:inline distT="0" distB="0" distL="0" distR="0">
            <wp:extent cx="5759450" cy="3671649"/>
            <wp:docPr id="12" name="Abbildung 12"/>
            <wp:cNvGraphicFramePr>
              <a:graphicFrameLocks noChangeAspect="1"/>
            </wp:cNvGraphicFramePr>
            <a:graphic>
              <a:graphicData uri="http://schemas.openxmlformats.org/drawingml/2006/picture">
                <pic:pic>
                  <pic:nvPicPr>
                    <pic:cNvPr id="12" name="image12.png"/>
                    <pic:cNvPicPr/>
                  </pic:nvPicPr>
                  <pic:blipFill>
                    <a:blip r:embed="rIdBild12"/>
                    <a:stretch>
                      <a:fillRect/>
                    </a:stretch>
                  </pic:blipFill>
                  <pic:spPr>
                    <a:xfrm>
                      <a:off x="0" y="0"/>
                      <a:ext cx="5759450" cy="3671649"/>
                    </a:xfrm>
                    <a:prstGeom prst="rect">
                      <a:avLst/>
                    </a:prstGeom>
                  </pic:spPr>
                </pic:pic>
              </a:graphicData>
            </a:graphic>
          </wp:inline>
        </w:drawing>
      </w:r>
    </w:p>
    <w:p>
      <w:r>
        <w:rPr>
          <w:b/>
          <w:sz w:val="18"/>
          <w:szCs w:val="18"/>
        </w:rPr>
        <w:t xml:space="preserve">Abbildung 12: </w:t>
      </w:r>
      <w:r>
        <w:rPr>
          <w:i/>
          <w:sz w:val="18"/>
          <w:szCs w:val="18"/>
        </w:rPr>
        <w:t xml:space="preserve">Spezialmodul Diagnostische Testgüte (DTA, SROC &amp; QUADAS-2) (12-spezialmodul-dta-sroc-quadas2.png)</w:t>
      </w:r>
    </w:p>
    <w:p>
      <w:r>
        <w:rPr>
          <w:b/>
        </w:rPr>
        <w:t xml:space="preserve">Wann setzt man eine Diagnostische Testgüte-Meta-Analyse (</w:t>
      </w:r>
      <w:r>
        <w:rPr>
          <w:rFonts w:ascii="Courier New" w:hAnsi="Courier New" w:cs="Courier New"/>
        </w:rPr>
        <w:t xml:space="preserve">lib/dta.ts</w:t>
      </w:r>
      <w:r>
        <w:rPr>
          <w:b/>
        </w:rPr>
        <w:t xml:space="preserve">) ein?</w:t>
      </w:r>
      <w:r>
        <w:t xml:space="preserve"> Wenn Studien keinen Therapieeffekt, sondern die </w:t>
      </w:r>
      <w:r>
        <w:rPr>
          <w:b/>
        </w:rPr>
        <w:t xml:space="preserve">Treffsicherheit eines diagnostischen Verfahrens</w:t>
      </w:r>
      <w:r>
        <w:t xml:space="preserve"> (z. B. Biomarker, Schnelltest, CT/MRT-Bildgebung, KI-Befundung, klinischer Risikoscore) gegen einen Goldstandard (</w:t>
      </w:r>
      <w:r>
        <w:rPr>
          <w:b/>
        </w:rPr>
        <w:t xml:space="preserve">Referenzstandard</w:t>
      </w:r>
      <w:r>
        <w:t xml:space="preserve">) anhand einer diagnostischen Vierfeldertafel prüfen:</w:t>
      </w:r>
    </w:p>
    <w:p>
      <w:pPr>
        <w:numPr>
          <w:ilvl w:val="0"/>
          <w:numId w:val="1"/>
        </w:numPr>
      </w:pPr>
      <w:r>
        <w:rPr>
          <w:b/>
        </w:rPr>
        <w:t xml:space="preserve">TP (True Positives / Richtig-Positive):</w:t>
      </w:r>
      <w:r>
        <w:t xml:space="preserve"> Kranke korrekt als krank erkannt</w:t>
      </w:r>
    </w:p>
    <w:p>
      <w:pPr>
        <w:numPr>
          <w:ilvl w:val="0"/>
          <w:numId w:val="1"/>
        </w:numPr>
      </w:pPr>
      <w:r>
        <w:rPr>
          <w:b/>
        </w:rPr>
        <w:t xml:space="preserve">FP (False Positives / Falsch-Positive):</w:t>
      </w:r>
      <w:r>
        <w:t xml:space="preserve"> Gesunde fälschlich als krank eingestuft</w:t>
      </w:r>
    </w:p>
    <w:p>
      <w:pPr>
        <w:numPr>
          <w:ilvl w:val="0"/>
          <w:numId w:val="1"/>
        </w:numPr>
      </w:pPr>
      <w:r>
        <w:rPr>
          <w:b/>
        </w:rPr>
        <w:t xml:space="preserve">FN (False Negatives / Falsch-Negative):</w:t>
      </w:r>
      <w:r>
        <w:t xml:space="preserve"> Kranke übersehen</w:t>
      </w:r>
    </w:p>
    <w:p>
      <w:pPr>
        <w:numPr>
          <w:ilvl w:val="0"/>
          <w:numId w:val="1"/>
        </w:numPr>
      </w:pPr>
      <w:r>
        <w:rPr>
          <w:b/>
        </w:rPr>
        <w:t xml:space="preserve">TN (True Negatives / Richtig-Negative):</w:t>
      </w:r>
      <w:r>
        <w:t xml:space="preserve"> Gesunde korrekt als gesund erkannt</w:t>
      </w:r>
    </w:p>
    <w:p>
      <w:r>
        <w:rPr>
          <w:b/>
        </w:rPr>
        <w:t xml:space="preserve">Warum darf man Sensitivität und Spezifität NIEMALS getrennt in zwei normalen Meta-Analysen poolen?</w:t>
      </w:r>
      <w:r>
        <w:t xml:space="preserve"> Weil Sensitivität (TP/TP+FN) und Spezifität (TN/TN+FP) über den </w:t>
      </w:r>
      <w:r>
        <w:rPr>
          <w:b/>
        </w:rPr>
        <w:t xml:space="preserve">Schwellenwert (Cut-off)</w:t>
      </w:r>
      <w:r>
        <w:t xml:space="preserve"> negativ miteinander korreliert sind! Setzt eine Klinik den Schwellenwert strenger, steigt die Spezifität auf Kosten der Sensitivität (</w:t>
      </w:r>
      <w:r>
        <w:rPr>
          <w:b/>
        </w:rPr>
        <w:t xml:space="preserve">Schwellenwert-Effekt</w:t>
      </w:r>
      <w:r>
        <w:t xml:space="preserve">).</w:t>
      </w:r>
    </w:p>
    <w:p>
      <w:r>
        <w:rPr>
          <w:b/>
        </w:rPr>
        <w:t xml:space="preserve">Wie rechnet das bivariate Modell nach Reitsma et al. (2005, </w:t>
      </w:r>
      <w:r>
        <w:rPr>
          <w:b/>
          <w:i/>
        </w:rPr>
        <w:t xml:space="preserve">J Clin Epidemiol</w:t>
      </w:r>
      <w:r>
        <w:rPr>
          <w:b/>
        </w:rPr>
        <w:t xml:space="preserve"> 58:982) / HSROC (Rutter &amp; Gatsonis 2001)?</w:t>
      </w:r>
    </w:p>
    <w:p>
      <w:pPr>
        <w:numPr>
          <w:ilvl w:val="0"/>
          <w:numId w:val="2"/>
        </w:numPr>
      </w:pPr>
      <w:r>
        <w:t xml:space="preserve">Es modelliert µ₁ = logit(Sensitivität_i) und µ₂ = logit(1 - Spezifität_i) </w:t>
      </w:r>
      <w:r>
        <w:rPr>
          <w:b/>
        </w:rPr>
        <w:t xml:space="preserve">gemeinsam</w:t>
      </w:r>
      <w:r>
        <w:t xml:space="preserve"> mit ihrer 2×2-Zwischen-Studien-Kovarianzmatrix boldsymbolΣ = beginpmatrix τ₁² &amp; τ₁₂ τ₁₂ &amp; τ₂² endpmatrix.</w:t>
      </w:r>
    </w:p>
    <w:p>
      <w:pPr>
        <w:numPr>
          <w:ilvl w:val="0"/>
          <w:numId w:val="2"/>
        </w:numPr>
      </w:pPr>
      <w:r>
        <w:rPr>
          <w:b/>
        </w:rPr>
        <w:t xml:space="preserve">SROC-Kurve (Summary Receiver Operating Characteristic) &amp; 95-%-Konfidenzellipse:</w:t>
      </w:r>
    </w:p>
    <w:p>
      <w:r>
        <w:t xml:space="preserve">Trägt die Sensitivität gegen die Falsch-Positiv-Rate (1 - Spezifität) auf. Der rote Rautenpunkt markiert den gepoolten Summary Point, die gestrichelte Ellipse die gemeinsame 95-%-Konfidenzregion und die durchgezogene Kurve die hierarchische SROC-Kurve mit der Fläche unter der Kurve (</w:t>
      </w:r>
      <w:r>
        <w:rPr>
          <w:b/>
        </w:rPr>
        <w:t xml:space="preserve">AUC in [0,5; 1,0]</w:t>
      </w:r>
      <w:r>
        <w:t xml:space="preserve">; Werte ≥ 0,90 gelten als exzellente Trennschärfe).</w:t>
      </w:r>
    </w:p>
    <w:p>
      <w:pPr>
        <w:numPr>
          <w:ilvl w:val="0"/>
          <w:numId w:val="2"/>
        </w:numPr>
      </w:pPr>
      <w:r>
        <w:rPr>
          <w:b/>
        </w:rPr>
        <w:t xml:space="preserve">Klinische Likelihood Ratios (LR⁺ und LR⁻) &amp; Diagnostic Odds Ratio (DOR):</w:t>
      </w:r>
    </w:p>
    <w:p>
      <w:pPr>
        <w:numPr>
          <w:ilvl w:val="0"/>
          <w:numId w:val="1"/>
        </w:numPr>
      </w:pPr>
      <w:r>
        <w:rPr>
          <w:b/>
        </w:rPr>
        <w:t xml:space="preserve">LR⁺ = Sens/1 - Spez (Positives Likelihood Ratio):</w:t>
      </w:r>
      <w:r>
        <w:t xml:space="preserve"> Um welchen Faktor erhöht ein positives Testergebnis die Wahrscheinlichkeit (Odds), tatsächlich krank zu sein? (LR⁺ &gt; 10 gilt klinisch als starker Beweis für das Vorliegen der Erkrankung, </w:t>
      </w:r>
      <w:r>
        <w:rPr>
          <w:b/>
        </w:rPr>
        <w:t xml:space="preserve">Rule-in</w:t>
      </w:r>
      <w:r>
        <w:t xml:space="preserve">).</w:t>
      </w:r>
    </w:p>
    <w:p>
      <w:pPr>
        <w:numPr>
          <w:ilvl w:val="0"/>
          <w:numId w:val="1"/>
        </w:numPr>
      </w:pPr>
      <w:r>
        <w:rPr>
          <w:b/>
        </w:rPr>
        <w:t xml:space="preserve">LR⁻ = 1 - Sens/Spez (Negatives Likelihood Ratio):</w:t>
      </w:r>
      <w:r>
        <w:t xml:space="preserve"> Um welchen Faktor senkt ein negatives Testergebnis die Krankheits-Odds? (LR⁻ &lt; 0,10 schließt die Erkrankung mit hoher Sicherheit aus, </w:t>
      </w:r>
      <w:r>
        <w:rPr>
          <w:b/>
        </w:rPr>
        <w:t xml:space="preserve">Rule-out</w:t>
      </w:r>
      <w:r>
        <w:t xml:space="preserve">).</w:t>
      </w:r>
    </w:p>
    <w:p>
      <w:pPr>
        <w:numPr>
          <w:ilvl w:val="0"/>
          <w:numId w:val="1"/>
        </w:numPr>
      </w:pPr>
      <w:r>
        <w:rPr>
          <w:b/>
        </w:rPr>
        <w:t xml:space="preserve">DOR = LR⁺/LR⁻:</w:t>
      </w:r>
      <w:r>
        <w:t xml:space="preserve"> Globales Maß der diagnostischen Trennschärfe.</w:t>
      </w:r>
    </w:p>
    <w:p>
      <w:pPr>
        <w:pBdr>
          <w:bottom w:val="single" w:sz="6" w:space="1" w:color="B4B4B4"/>
        </w:pBdr>
      </w:pPr>
    </w:p>
    <w:p>
      <w:pPr>
        <w:pStyle w:val="Ueberschrift3"/>
      </w:pPr>
      <w:r>
        <w:t xml:space="preserve">8. GRADE-Evidenzgraduierung, Gläserner Rechenweg, Ratifikation &amp; Einreichungspaket</w:t>
      </w:r>
    </w:p>
    <w:p>
      <w:pPr>
        <w:pStyle w:val="Ueberschrift4"/>
      </w:pPr>
      <w:r>
        <w:t xml:space="preserve">8.1 GRADE — Vertrauen in den Effektschätzer je Endpunkt</w:t>
      </w:r>
    </w:p>
    <w:p>
      <w:pPr>
        <w:jc w:val="center"/>
        <w:spacing w:before="120" w:after="60" w:line="240" w:lineRule="auto"/>
      </w:pPr>
      <w:r>
        <w:drawing>
          <wp:inline distT="0" distB="0" distL="0" distR="0">
            <wp:extent cx="5759450" cy="3671649"/>
            <wp:docPr id="13" name="Abbildung 13"/>
            <wp:cNvGraphicFramePr>
              <a:graphicFrameLocks noChangeAspect="1"/>
            </wp:cNvGraphicFramePr>
            <a:graphic>
              <a:graphicData uri="http://schemas.openxmlformats.org/drawingml/2006/picture">
                <pic:pic>
                  <pic:nvPicPr>
                    <pic:cNvPr id="13" name="image13.png"/>
                    <pic:cNvPicPr/>
                  </pic:nvPicPr>
                  <pic:blipFill>
                    <a:blip r:embed="rIdBild13"/>
                    <a:stretch>
                      <a:fillRect/>
                    </a:stretch>
                  </pic:blipFill>
                  <pic:spPr>
                    <a:xfrm>
                      <a:off x="0" y="0"/>
                      <a:ext cx="5759450" cy="3671649"/>
                    </a:xfrm>
                    <a:prstGeom prst="rect">
                      <a:avLst/>
                    </a:prstGeom>
                  </pic:spPr>
                </pic:pic>
              </a:graphicData>
            </a:graphic>
          </wp:inline>
        </w:drawing>
      </w:r>
    </w:p>
    <w:p>
      <w:r>
        <w:rPr>
          <w:b/>
          <w:sz w:val="18"/>
          <w:szCs w:val="18"/>
        </w:rPr>
        <w:t xml:space="preserve">Abbildung 13: </w:t>
      </w:r>
      <w:r>
        <w:rPr>
          <w:i/>
          <w:sz w:val="18"/>
          <w:szCs w:val="18"/>
        </w:rPr>
        <w:t xml:space="preserve">GRADE-Evidenzbewertung (13-grade-evidenzbewertung.png)</w:t>
      </w:r>
    </w:p>
    <w:p>
      <w:r>
        <w:t xml:space="preserve">Im unteren Teil des Reiters </w:t>
      </w:r>
      <w:r>
        <w:rPr>
          <w:b/>
        </w:rPr>
        <w:t xml:space="preserve">Analyse</w:t>
      </w:r>
      <w:r>
        <w:t xml:space="preserve"> (</w:t>
      </w:r>
      <w:r>
        <w:rPr>
          <w:rFonts w:ascii="Courier New" w:hAnsi="Courier New" w:cs="Courier New"/>
        </w:rPr>
        <w:t xml:space="preserve">GradePanel.tsx</w:t>
      </w:r>
      <w:r>
        <w:t xml:space="preserve">, </w:t>
      </w:r>
      <w:r>
        <w:rPr>
          <w:rFonts w:ascii="Courier New" w:hAnsi="Courier New" w:cs="Courier New"/>
        </w:rPr>
        <w:t xml:space="preserve">lib/grade.ts</w:t>
      </w:r>
      <w:r>
        <w:t xml:space="preserve">) wird nach dem </w:t>
      </w:r>
      <w:r>
        <w:rPr>
          <w:b/>
        </w:rPr>
        <w:t xml:space="preserve">GRADE-System (Guyatt et al. 2011)</w:t>
      </w:r>
      <w:r>
        <w:t xml:space="preserve"> nicht die einzelne Studie, sondern das </w:t>
      </w:r>
      <w:r>
        <w:rPr>
          <w:b/>
        </w:rPr>
        <w:t xml:space="preserve">Vertrauen in den gepoolten Schätzer eines Endpunkts</w:t>
      </w:r>
      <w:r>
        <w:t xml:space="preserve"> über vier Stufen eingestuft (</w:t>
      </w:r>
      <w:r>
        <w:rPr>
          <w:b/>
        </w:rPr>
        <w:t xml:space="preserve">Hoch</w:t>
      </w:r>
      <w:r>
        <w:t xml:space="preserve"> oplusoplusoplusoplus, </w:t>
      </w:r>
      <w:r>
        <w:rPr>
          <w:b/>
        </w:rPr>
        <w:t xml:space="preserve">Moderat</w:t>
      </w:r>
      <w:r>
        <w:t xml:space="preserve"> oplusoplusopluscirc, </w:t>
      </w:r>
      <w:r>
        <w:rPr>
          <w:b/>
        </w:rPr>
        <w:t xml:space="preserve">Niedrig</w:t>
      </w:r>
      <w:r>
        <w:t xml:space="preserve"> oplusopluscirccirc, </w:t>
      </w:r>
      <w:r>
        <w:rPr>
          <w:b/>
        </w:rPr>
        <w:t xml:space="preserve">Sehr niedrig</w:t>
      </w:r>
      <w:r>
        <w:t xml:space="preserve"> opluscirccirccirc):</w:t>
      </w:r>
    </w:p>
    <w:p>
      <w:pPr>
        <w:numPr>
          <w:ilvl w:val="0"/>
          <w:numId w:val="1"/>
        </w:numPr>
      </w:pPr>
      <w:r>
        <w:rPr>
          <w:b/>
        </w:rPr>
        <w:t xml:space="preserve">Ausgangsniveau:</w:t>
      </w:r>
      <w:r>
        <w:t xml:space="preserve"> Randomisierte Studien starten auf </w:t>
      </w:r>
      <w:r>
        <w:rPr>
          <w:b/>
        </w:rPr>
        <w:t xml:space="preserve">Hoch</w:t>
      </w:r>
      <w:r>
        <w:t xml:space="preserve">; Beobachtungsstudien (sofern mit ROBINS-I bewertet, Schünemann et al. 2019) werden transparent mit ihren fünf Abwertungsdomänen (</w:t>
      </w:r>
      <w:r>
        <w:rPr>
          <w:i/>
        </w:rPr>
        <w:t xml:space="preserve">Risiko für Bias</w:t>
      </w:r>
      <w:r>
        <w:t xml:space="preserve">, </w:t>
      </w:r>
      <w:r>
        <w:rPr>
          <w:i/>
        </w:rPr>
        <w:t xml:space="preserve">Inkonsistenz / Prädiktionsintervall</w:t>
      </w:r>
      <w:r>
        <w:t xml:space="preserve">, </w:t>
      </w:r>
      <w:r>
        <w:rPr>
          <w:i/>
        </w:rPr>
        <w:t xml:space="preserve">Indirektheit</w:t>
      </w:r>
      <w:r>
        <w:t xml:space="preserve">, </w:t>
      </w:r>
      <w:r>
        <w:rPr>
          <w:i/>
        </w:rPr>
        <w:t xml:space="preserve">Ungenauigkeit / Optimal Information Size</w:t>
      </w:r>
      <w:r>
        <w:t xml:space="preserve">, </w:t>
      </w:r>
      <w:r>
        <w:rPr>
          <w:i/>
        </w:rPr>
        <w:t xml:space="preserve">Publikationsbias</w:t>
      </w:r>
      <w:r>
        <w:t xml:space="preserve">) und drei Aufwertungsdomänen (</w:t>
      </w:r>
      <w:r>
        <w:rPr>
          <w:i/>
        </w:rPr>
        <w:t xml:space="preserve">Großer Effekt</w:t>
      </w:r>
      <w:r>
        <w:t xml:space="preserve">, </w:t>
      </w:r>
      <w:r>
        <w:rPr>
          <w:i/>
        </w:rPr>
        <w:t xml:space="preserve">Dosis-Wirkungs-Gradient</w:t>
      </w:r>
      <w:r>
        <w:t xml:space="preserve">, </w:t>
      </w:r>
      <w:r>
        <w:rPr>
          <w:i/>
        </w:rPr>
        <w:t xml:space="preserve">Plausibles Confounding würde Effekt abschwächen</w:t>
      </w:r>
      <w:r>
        <w:t xml:space="preserve">) geprüft.</w:t>
      </w:r>
    </w:p>
    <w:p>
      <w:pPr>
        <w:numPr>
          <w:ilvl w:val="0"/>
          <w:numId w:val="1"/>
        </w:numPr>
      </w:pPr>
      <w:r>
        <w:rPr>
          <w:b/>
        </w:rPr>
        <w:t xml:space="preserve">Domäne „Indirektheit“ bleibt bewusst menschlich:</w:t>
      </w:r>
      <w:r>
        <w:t xml:space="preserve"> Ob die untersuchten Studienpopulationen genau zur Frage der Leser:innen passen, kann kein Algorithmus aus den Zahlen ableiten — EvidenzWerk lässt diese Domäne bewusst zur menschlichen Begründung offen und übernimmt die fertige Begründung direkt in die </w:t>
      </w:r>
      <w:r>
        <w:rPr>
          <w:b/>
        </w:rPr>
        <w:t xml:space="preserve">Summary-of-Findings-Tabelle (SoF)</w:t>
      </w:r>
      <w:r>
        <w:t xml:space="preserve">.</w:t>
      </w:r>
    </w:p>
    <w:p>
      <w:pPr>
        <w:pBdr>
          <w:bottom w:val="single" w:sz="6" w:space="1" w:color="B4B4B4"/>
        </w:pBdr>
      </w:pPr>
    </w:p>
    <w:p>
      <w:pPr>
        <w:pStyle w:val="Ueberschrift4"/>
      </w:pPr>
      <w:r>
        <w:t xml:space="preserve">8.2 Reiter „Berechnungen“ — Die gläserne Rechnung ohne Blackbox</w:t>
      </w:r>
    </w:p>
    <w:p>
      <w:pPr>
        <w:jc w:val="center"/>
        <w:spacing w:before="120" w:after="60" w:line="240" w:lineRule="auto"/>
      </w:pPr>
      <w:r>
        <w:drawing>
          <wp:inline distT="0" distB="0" distL="0" distR="0">
            <wp:extent cx="5759450" cy="3671649"/>
            <wp:docPr id="14" name="Abbildung 14"/>
            <wp:cNvGraphicFramePr>
              <a:graphicFrameLocks noChangeAspect="1"/>
            </wp:cNvGraphicFramePr>
            <a:graphic>
              <a:graphicData uri="http://schemas.openxmlformats.org/drawingml/2006/picture">
                <pic:pic>
                  <pic:nvPicPr>
                    <pic:cNvPr id="14" name="image14.png"/>
                    <pic:cNvPicPr/>
                  </pic:nvPicPr>
                  <pic:blipFill>
                    <a:blip r:embed="rIdBild14"/>
                    <a:stretch>
                      <a:fillRect/>
                    </a:stretch>
                  </pic:blipFill>
                  <pic:spPr>
                    <a:xfrm>
                      <a:off x="0" y="0"/>
                      <a:ext cx="5759450" cy="3671649"/>
                    </a:xfrm>
                    <a:prstGeom prst="rect">
                      <a:avLst/>
                    </a:prstGeom>
                  </pic:spPr>
                </pic:pic>
              </a:graphicData>
            </a:graphic>
          </wp:inline>
        </w:drawing>
      </w:r>
    </w:p>
    <w:p>
      <w:r>
        <w:rPr>
          <w:b/>
          <w:sz w:val="18"/>
          <w:szCs w:val="18"/>
        </w:rPr>
        <w:t xml:space="preserve">Abbildung 14: </w:t>
      </w:r>
      <w:r>
        <w:rPr>
          <w:i/>
          <w:sz w:val="18"/>
          <w:szCs w:val="18"/>
        </w:rPr>
        <w:t xml:space="preserve">Gläserner Rechenweg („Berechnungen“) (14-rechenweg-glaskasten.png)</w:t>
      </w:r>
    </w:p>
    <w:p>
      <w:r>
        <w:t xml:space="preserve">Der Reiter </w:t>
      </w:r>
      <w:r>
        <w:rPr>
          <w:b/>
        </w:rPr>
        <w:t xml:space="preserve">Berechnungen</w:t>
      </w:r>
      <w:r>
        <w:t xml:space="preserve"> (</w:t>
      </w:r>
      <w:r>
        <w:rPr>
          <w:rFonts w:ascii="Courier New" w:hAnsi="Courier New" w:cs="Courier New"/>
        </w:rPr>
        <w:t xml:space="preserve">BerechnungenPanel.tsx</w:t>
      </w:r>
      <w:r>
        <w:t xml:space="preserve">, </w:t>
      </w:r>
      <w:r>
        <w:rPr>
          <w:rFonts w:ascii="Courier New" w:hAnsi="Courier New" w:cs="Courier New"/>
        </w:rPr>
        <w:t xml:space="preserve">lib/rechenweg.ts</w:t>
      </w:r>
      <w:r>
        <w:t xml:space="preserve">, </w:t>
      </w:r>
      <w:r>
        <w:rPr>
          <w:rFonts w:ascii="Courier New" w:hAnsi="Courier New" w:cs="Courier New"/>
        </w:rPr>
        <w:t xml:space="preserve">lib/spur.ts</w:t>
      </w:r>
      <w:r>
        <w:t xml:space="preserve">) macht jede Zahl des Projekts für Gutachter, Ko-Autoren und Studierende lückenlos nachvollziehbar:</w:t>
      </w:r>
    </w:p>
    <w:p>
      <w:pPr>
        <w:numPr>
          <w:ilvl w:val="0"/>
          <w:numId w:val="1"/>
        </w:numPr>
      </w:pPr>
      <w:r>
        <w:t xml:space="preserve">Während </w:t>
      </w:r>
      <w:r>
        <w:rPr>
          <w:rFonts w:ascii="Courier New" w:hAnsi="Courier New" w:cs="Courier New"/>
        </w:rPr>
        <w:t xml:space="preserve">computeEffect</w:t>
      </w:r>
      <w:r>
        <w:t xml:space="preserve"> und </w:t>
      </w:r>
      <w:r>
        <w:rPr>
          <w:rFonts w:ascii="Courier New" w:hAnsi="Courier New" w:cs="Courier New"/>
        </w:rPr>
        <w:t xml:space="preserve">pool</w:t>
      </w:r>
      <w:r>
        <w:t xml:space="preserve"> rechnen, schreiben sie jeden Zwischenschritt mit </w:t>
      </w:r>
      <w:r>
        <w:rPr>
          <w:b/>
        </w:rPr>
        <w:t xml:space="preserve">Formel</w:t>
      </w:r>
      <w:r>
        <w:t xml:space="preserve">, </w:t>
      </w:r>
      <w:r>
        <w:rPr>
          <w:b/>
        </w:rPr>
        <w:t xml:space="preserve">eingesetzten Zahlen des konkreten Projekts</w:t>
      </w:r>
      <w:r>
        <w:t xml:space="preserve">, </w:t>
      </w:r>
      <w:r>
        <w:rPr>
          <w:b/>
        </w:rPr>
        <w:t xml:space="preserve">Zwischenergebnis</w:t>
      </w:r>
      <w:r>
        <w:t xml:space="preserve">, </w:t>
      </w:r>
      <w:r>
        <w:rPr>
          <w:b/>
        </w:rPr>
        <w:t xml:space="preserve">Intervalltabelle</w:t>
      </w:r>
      <w:r>
        <w:t xml:space="preserve"> und </w:t>
      </w:r>
      <w:r>
        <w:rPr>
          <w:b/>
        </w:rPr>
        <w:t xml:space="preserve">Literaturquelle</w:t>
      </w:r>
      <w:r>
        <w:t xml:space="preserve"> in ein </w:t>
      </w:r>
      <w:r>
        <w:rPr>
          <w:rFonts w:ascii="Courier New" w:hAnsi="Courier New" w:cs="Courier New"/>
        </w:rPr>
        <w:t xml:space="preserve">Spur</w:t>
      </w:r>
      <w:r>
        <w:t xml:space="preserve">-Objekt.</w:t>
      </w:r>
    </w:p>
    <w:p>
      <w:pPr>
        <w:numPr>
          <w:ilvl w:val="0"/>
          <w:numId w:val="1"/>
        </w:numPr>
      </w:pPr>
      <w:r>
        <w:t xml:space="preserve">Weicht der von Hand nachvollziehbare 2-Ebenen-Rechenweg vom gespeicherten 3-Ebenen-R-Hauptlauf ab (weil mehrere Effekte aus derselben Studie stammen), stellt Schritt 14 beide Zahlen nebeneinander und erklärt die Differenz exakt.</w:t>
      </w:r>
    </w:p>
    <w:p>
      <w:pPr>
        <w:numPr>
          <w:ilvl w:val="0"/>
          <w:numId w:val="1"/>
        </w:numPr>
      </w:pPr>
      <w:r>
        <w:t xml:space="preserve">Darunter befindet sich das kontextsensitive </w:t>
      </w:r>
      <w:r>
        <w:rPr>
          <w:b/>
        </w:rPr>
        <w:t xml:space="preserve">Fragen-Panel (</w:t>
      </w:r>
      <w:r>
        <w:rPr>
          <w:rFonts w:ascii="Courier New" w:hAnsi="Courier New" w:cs="Courier New"/>
        </w:rPr>
        <w:t xml:space="preserve">FragenPanel.tsx</w:t>
      </w:r>
      <w:r>
        <w:rPr>
          <w:b/>
        </w:rPr>
        <w:t xml:space="preserve">, </w:t>
      </w:r>
      <w:r>
        <w:rPr>
          <w:rFonts w:ascii="Courier New" w:hAnsi="Courier New" w:cs="Courier New"/>
        </w:rPr>
        <w:t xml:space="preserve">lib/fragen.ts</w:t>
      </w:r>
      <w:r>
        <w:rPr>
          <w:b/>
        </w:rPr>
        <w:t xml:space="preserve">)</w:t>
      </w:r>
      <w:r>
        <w:t xml:space="preserve">, das methodische Rückfragen direkt an den konkreten Zahlen des gewählten Rechenwegs beantwortet und jede im Antworttext genannte Zahl gegen den Projektdatenbestand verifiziert.</w:t>
      </w:r>
    </w:p>
    <w:p>
      <w:pPr>
        <w:pBdr>
          <w:bottom w:val="single" w:sz="6" w:space="1" w:color="B4B4B4"/>
        </w:pBdr>
      </w:pPr>
    </w:p>
    <w:p>
      <w:pPr>
        <w:pStyle w:val="Ueberschrift4"/>
      </w:pPr>
      <w:r>
        <w:t xml:space="preserve">8.3 Menschliche Ratifikation an den vier kritischen KI-Weichen (RAISE-2025)</w:t>
      </w:r>
    </w:p>
    <w:p>
      <w:pPr>
        <w:jc w:val="center"/>
        <w:spacing w:before="120" w:after="60" w:line="240" w:lineRule="auto"/>
      </w:pPr>
      <w:r>
        <w:drawing>
          <wp:inline distT="0" distB="0" distL="0" distR="0">
            <wp:extent cx="5759450" cy="3671649"/>
            <wp:docPr id="15" name="Abbildung 15"/>
            <wp:cNvGraphicFramePr>
              <a:graphicFrameLocks noChangeAspect="1"/>
            </wp:cNvGraphicFramePr>
            <a:graphic>
              <a:graphicData uri="http://schemas.openxmlformats.org/drawingml/2006/picture">
                <pic:pic>
                  <pic:nvPicPr>
                    <pic:cNvPr id="15" name="image15.png"/>
                    <pic:cNvPicPr/>
                  </pic:nvPicPr>
                  <pic:blipFill>
                    <a:blip r:embed="rIdBild15"/>
                    <a:stretch>
                      <a:fillRect/>
                    </a:stretch>
                  </pic:blipFill>
                  <pic:spPr>
                    <a:xfrm>
                      <a:off x="0" y="0"/>
                      <a:ext cx="5759450" cy="3671649"/>
                    </a:xfrm>
                    <a:prstGeom prst="rect">
                      <a:avLst/>
                    </a:prstGeom>
                  </pic:spPr>
                </pic:pic>
              </a:graphicData>
            </a:graphic>
          </wp:inline>
        </w:drawing>
      </w:r>
    </w:p>
    <w:p>
      <w:r>
        <w:rPr>
          <w:b/>
          <w:sz w:val="18"/>
          <w:szCs w:val="18"/>
        </w:rPr>
        <w:t xml:space="preserve">Abbildung 15: </w:t>
      </w:r>
      <w:r>
        <w:rPr>
          <w:i/>
          <w:sz w:val="18"/>
          <w:szCs w:val="18"/>
        </w:rPr>
        <w:t xml:space="preserve">Ratifikation &amp; RAISE-Konformität (15-ratifikation-raise.png)</w:t>
      </w:r>
    </w:p>
    <w:p>
      <w:r>
        <w:t xml:space="preserve">Nach den </w:t>
      </w:r>
      <w:r>
        <w:rPr>
          <w:b/>
        </w:rPr>
        <w:t xml:space="preserve">RAISE-Leitlinien (Reporting AI in Evidence Synthesis, 2025)</w:t>
      </w:r>
      <w:r>
        <w:t xml:space="preserve"> darf KI in systematischen Übersichtsarbeiten Vorarbeiten leisten, aber niemals unbeaufsichtigt über Ein-/Ausschluss oder Qualitätsurteile entscheiden. EvidenzWerk setzt deshalb in </w:t>
      </w:r>
      <w:r>
        <w:rPr>
          <w:rFonts w:ascii="Courier New" w:hAnsi="Courier New" w:cs="Courier New"/>
        </w:rPr>
        <w:t xml:space="preserve">lib/v1/ratification.ts</w:t>
      </w:r>
      <w:r>
        <w:t xml:space="preserve"> eine </w:t>
      </w:r>
      <w:r>
        <w:rPr>
          <w:b/>
        </w:rPr>
        <w:t xml:space="preserve">nicht-blockierende Ratifikationsschicht</w:t>
      </w:r>
      <w:r>
        <w:t xml:space="preserve"> an genau vier kritischen Weichen ein:</w:t>
      </w:r>
    </w:p>
    <w:p>
      <w:pPr>
        <w:numPr>
          <w:ilvl w:val="0"/>
          <w:numId w:val="2"/>
        </w:numPr>
      </w:pPr>
      <w:r>
        <w:rPr>
          <w:rFonts w:ascii="Courier New" w:hAnsi="Courier New" w:cs="Courier New"/>
        </w:rPr>
        <w:t xml:space="preserve">volltext_verdikt</w:t>
      </w:r>
      <w:r>
        <w:rPr>
          <w:b/>
        </w:rPr>
        <w:t xml:space="preserve">:</w:t>
      </w:r>
      <w:r>
        <w:t xml:space="preserve"> KI-Entscheidung beim Volltext-Ein-/Ausschluss</w:t>
      </w:r>
    </w:p>
    <w:p>
      <w:pPr>
        <w:numPr>
          <w:ilvl w:val="0"/>
          <w:numId w:val="2"/>
        </w:numPr>
      </w:pPr>
      <w:r>
        <w:rPr>
          <w:rFonts w:ascii="Courier New" w:hAnsi="Courier New" w:cs="Courier New"/>
        </w:rPr>
        <w:t xml:space="preserve">integritaets_ausschluss</w:t>
      </w:r>
      <w:r>
        <w:rPr>
          <w:b/>
        </w:rPr>
        <w:t xml:space="preserve">:</w:t>
      </w:r>
      <w:r>
        <w:t xml:space="preserve"> Ausschluss wegen Datenintegritäts- oder Retraktionsverdacht</w:t>
      </w:r>
    </w:p>
    <w:p>
      <w:pPr>
        <w:numPr>
          <w:ilvl w:val="0"/>
          <w:numId w:val="2"/>
        </w:numPr>
      </w:pPr>
      <w:r>
        <w:rPr>
          <w:rFonts w:ascii="Courier New" w:hAnsi="Courier New" w:cs="Courier New"/>
        </w:rPr>
        <w:t xml:space="preserve">rob2_urteil</w:t>
      </w:r>
      <w:r>
        <w:rPr>
          <w:b/>
        </w:rPr>
        <w:t xml:space="preserve"> / </w:t>
      </w:r>
      <w:r>
        <w:rPr>
          <w:rFonts w:ascii="Courier New" w:hAnsi="Courier New" w:cs="Courier New"/>
        </w:rPr>
        <w:t xml:space="preserve">robins_urteil</w:t>
      </w:r>
      <w:r>
        <w:rPr>
          <w:b/>
        </w:rPr>
        <w:t xml:space="preserve">:</w:t>
      </w:r>
      <w:r>
        <w:t xml:space="preserve"> Durch KI gesetztes Verzerrungsurteil</w:t>
      </w:r>
    </w:p>
    <w:p>
      <w:pPr>
        <w:numPr>
          <w:ilvl w:val="0"/>
          <w:numId w:val="2"/>
        </w:numPr>
      </w:pPr>
      <w:r>
        <w:rPr>
          <w:rFonts w:ascii="Courier New" w:hAnsi="Courier New" w:cs="Courier New"/>
        </w:rPr>
        <w:t xml:space="preserve">grade_urteil</w:t>
      </w:r>
      <w:r>
        <w:rPr>
          <w:b/>
        </w:rPr>
        <w:t xml:space="preserve">:</w:t>
      </w:r>
      <w:r>
        <w:t xml:space="preserve"> Durch KI gesetzte GRADE-Gesamteinstufung</w:t>
      </w:r>
    </w:p>
    <w:p>
      <w:r>
        <w:t xml:space="preserve">Jede </w:t>
      </w:r>
      <w:r>
        <w:rPr>
          <w:rFonts w:ascii="Courier New" w:hAnsi="Courier New" w:cs="Courier New"/>
        </w:rPr>
        <w:t xml:space="preserve">agent:*</w:t>
      </w:r>
      <w:r>
        <w:t xml:space="preserve">-Entscheidung an diesen vier Weichen fließt sofort in die vorläufige Rechnung ein (damit automatisierte Pipelines nicht blockieren), trägt aber das Etikett </w:t>
      </w:r>
      <w:r>
        <w:rPr>
          <w:rFonts w:ascii="Courier New" w:hAnsi="Courier New" w:cs="Courier New"/>
        </w:rPr>
        <w:t xml:space="preserve">ratifiziert: offen</w:t>
      </w:r>
      <w:r>
        <w:t xml:space="preserve">. Erst wenn ein Mensch (</w:t>
      </w:r>
      <w:r>
        <w:rPr>
          <w:rFonts w:ascii="Courier New" w:hAnsi="Courier New" w:cs="Courier New"/>
        </w:rPr>
        <w:t xml:space="preserve">human:&lt;nutzer&gt;</w:t>
      </w:r>
      <w:r>
        <w:t xml:space="preserve">) im Reiter </w:t>
      </w:r>
      <w:r>
        <w:rPr>
          <w:b/>
        </w:rPr>
        <w:t xml:space="preserve">Ratifikation</w:t>
      </w:r>
      <w:r>
        <w:t xml:space="preserve"> auf </w:t>
      </w:r>
      <w:r>
        <w:rPr>
          <w:i/>
        </w:rPr>
        <w:t xml:space="preserve">„Bestätigen“</w:t>
      </w:r>
      <w:r>
        <w:t xml:space="preserve"> oder </w:t>
      </w:r>
      <w:r>
        <w:rPr>
          <w:i/>
        </w:rPr>
        <w:t xml:space="preserve">„Ändern“</w:t>
      </w:r>
      <w:r>
        <w:t xml:space="preserve"> klickt, gilt das Urteil als ratifiziert. Solange offene Ratifikationen bestehen, weist der Report sie prominent in einer gelben Warnkarte aus, und der automatisch generierte </w:t>
      </w:r>
      <w:r>
        <w:rPr>
          <w:b/>
        </w:rPr>
        <w:t xml:space="preserve">RAISE-Konformitätsbericht (</w:t>
      </w:r>
      <w:r>
        <w:rPr>
          <w:rFonts w:ascii="Courier New" w:hAnsi="Courier New" w:cs="Courier New"/>
        </w:rPr>
        <w:t xml:space="preserve">lib/raise.ts</w:t>
      </w:r>
      <w:r>
        <w:rPr>
          <w:b/>
        </w:rPr>
        <w:t xml:space="preserve">)</w:t>
      </w:r>
      <w:r>
        <w:t xml:space="preserve"> dokumentiert exakt, welches Modell wie viele Vorschläge geliefert hat und wie oft der Mensch davon abgewichen ist.</w:t>
      </w:r>
    </w:p>
    <w:p>
      <w:pPr>
        <w:pBdr>
          <w:bottom w:val="single" w:sz="6" w:space="1" w:color="B4B4B4"/>
        </w:pBdr>
      </w:pPr>
    </w:p>
    <w:p>
      <w:pPr>
        <w:pStyle w:val="Ueberschrift4"/>
      </w:pPr>
      <w:r>
        <w:t xml:space="preserve">8.4 PRISMA-2020-Bilanz, Exporte &amp; Druckfertiges Zeitschrift-Einreichungspaket (ZIP)</w:t>
      </w:r>
    </w:p>
    <w:p>
      <w:pPr>
        <w:jc w:val="center"/>
        <w:spacing w:before="120" w:after="60" w:line="240" w:lineRule="auto"/>
      </w:pPr>
      <w:r>
        <w:drawing>
          <wp:inline distT="0" distB="0" distL="0" distR="0">
            <wp:extent cx="5759450" cy="3671649"/>
            <wp:docPr id="16" name="Abbildung 16"/>
            <wp:cNvGraphicFramePr>
              <a:graphicFrameLocks noChangeAspect="1"/>
            </wp:cNvGraphicFramePr>
            <a:graphic>
              <a:graphicData uri="http://schemas.openxmlformats.org/drawingml/2006/picture">
                <pic:pic>
                  <pic:nvPicPr>
                    <pic:cNvPr id="16" name="image16.png"/>
                    <pic:cNvPicPr/>
                  </pic:nvPicPr>
                  <pic:blipFill>
                    <a:blip r:embed="rIdBild16"/>
                    <a:stretch>
                      <a:fillRect/>
                    </a:stretch>
                  </pic:blipFill>
                  <pic:spPr>
                    <a:xfrm>
                      <a:off x="0" y="0"/>
                      <a:ext cx="5759450" cy="3671649"/>
                    </a:xfrm>
                    <a:prstGeom prst="rect">
                      <a:avLst/>
                    </a:prstGeom>
                  </pic:spPr>
                </pic:pic>
              </a:graphicData>
            </a:graphic>
          </wp:inline>
        </w:drawing>
      </w:r>
    </w:p>
    <w:p>
      <w:r>
        <w:rPr>
          <w:b/>
          <w:sz w:val="18"/>
          <w:szCs w:val="18"/>
        </w:rPr>
        <w:t xml:space="preserve">Abbildung 16: </w:t>
      </w:r>
      <w:r>
        <w:rPr>
          <w:i/>
          <w:sz w:val="18"/>
          <w:szCs w:val="18"/>
        </w:rPr>
        <w:t xml:space="preserve">Report &amp; Einreichungspaket (16-report-einreichungspaket.png)</w:t>
      </w:r>
    </w:p>
    <w:p>
      <w:r>
        <w:t xml:space="preserve">Im Reiter </w:t>
      </w:r>
      <w:r>
        <w:rPr>
          <w:b/>
        </w:rPr>
        <w:t xml:space="preserve">Report</w:t>
      </w:r>
      <w:r>
        <w:t xml:space="preserve"> ([</w:t>
      </w:r>
      <w:r>
        <w:rPr>
          <w:rFonts w:ascii="Courier New" w:hAnsi="Courier New" w:cs="Courier New"/>
        </w:rPr>
        <w:t xml:space="preserve">app/p/[id]/page.tsx</w:t>
      </w:r>
      <w:r>
        <w:t xml:space="preserve">](file:///Users/franzhuetter/evidenzwerk/app/p/%5Bid%5D/page.tsx), </w:t>
      </w:r>
      <w:r>
        <w:rPr>
          <w:rFonts w:ascii="Courier New" w:hAnsi="Courier New" w:cs="Courier New"/>
        </w:rPr>
        <w:t xml:space="preserve">lib/paket.ts</w:t>
      </w:r>
      <w:r>
        <w:t xml:space="preserve">) führt EvidenzWerk sämtliche Ergebnisse ohne Copy-Paste-Bruch zu druckfertigen Zeitschriften-Dokumenten zusammen:</w:t>
      </w:r>
    </w:p>
    <w:p>
      <w:pPr>
        <w:numPr>
          <w:ilvl w:val="0"/>
          <w:numId w:val="1"/>
        </w:numPr>
      </w:pPr>
      <w:r>
        <w:rPr>
          <w:b/>
        </w:rPr>
        <w:t xml:space="preserve">Vollständige Abdeckungs- und Konsistenzprüfung (</w:t>
      </w:r>
      <w:r>
        <w:rPr>
          <w:rFonts w:ascii="Courier New" w:hAnsi="Courier New" w:cs="Courier New"/>
        </w:rPr>
        <w:t xml:space="preserve">lib/abdeckung.ts</w:t>
      </w:r>
      <w:r>
        <w:rPr>
          <w:b/>
        </w:rPr>
        <w:t xml:space="preserve">, </w:t>
      </w:r>
      <w:r>
        <w:rPr>
          <w:rFonts w:ascii="Courier New" w:hAnsi="Courier New" w:cs="Courier New"/>
        </w:rPr>
        <w:t xml:space="preserve">lib/einreichungsstand.ts</w:t>
      </w:r>
      <w:r>
        <w:rPr>
          <w:b/>
        </w:rPr>
        <w:t xml:space="preserve">):</w:t>
      </w:r>
      <w:r>
        <w:t xml:space="preserve"> Prüft vor dem Download, ob alle eingeschlossenen Studien in Tabelle 1, im Literaturverzeichnis und im Manuskripttext zitiert sind und ob eine einzige Studie oder Zahl fehlt.</w:t>
      </w:r>
    </w:p>
    <w:p>
      <w:pPr>
        <w:numPr>
          <w:ilvl w:val="0"/>
          <w:numId w:val="1"/>
        </w:numPr>
      </w:pPr>
      <w:r>
        <w:rPr>
          <w:b/>
        </w:rPr>
        <w:t xml:space="preserve">Einreichungspaket (</w:t>
      </w:r>
      <w:r>
        <w:rPr>
          <w:rFonts w:ascii="Courier New" w:hAnsi="Courier New" w:cs="Courier New"/>
        </w:rPr>
        <w:t xml:space="preserve">einreichungspaket-projekt-&lt;id&gt;.zip</w:t>
      </w:r>
      <w:r>
        <w:rPr>
          <w:b/>
        </w:rPr>
        <w:t xml:space="preserve"> via </w:t>
      </w:r>
      <w:r>
        <w:rPr>
          <w:rFonts w:ascii="Courier New" w:hAnsi="Courier New" w:cs="Courier New"/>
        </w:rPr>
        <w:t xml:space="preserve">lib/paket.ts</w:t>
      </w:r>
      <w:r>
        <w:rPr>
          <w:b/>
        </w:rPr>
        <w:t xml:space="preserve">):</w:t>
      </w:r>
      <w:r>
        <w:t xml:space="preserve"> Erzeugt ein einziges ZIP-Archiv mit bis zu </w:t>
      </w:r>
      <w:r>
        <w:rPr>
          <w:b/>
        </w:rPr>
        <w:t xml:space="preserve">29 publikationsfertigen Einzeldateien</w:t>
      </w:r>
      <w:r>
        <w:t xml:space="preserve"> (in Markdown, Word </w:t>
      </w:r>
      <w:r>
        <w:rPr>
          <w:rFonts w:ascii="Courier New" w:hAnsi="Courier New" w:cs="Courier New"/>
        </w:rPr>
        <w:t xml:space="preserve">.docx</w:t>
      </w:r>
      <w:r>
        <w:t xml:space="preserve"> mit Times New Roman 12 pt, doppeltem Zeilenabstand und fortlaufender Zeilennummerierung sowie druckfertigem </w:t>
      </w:r>
      <w:r>
        <w:rPr>
          <w:rFonts w:ascii="Courier New" w:hAnsi="Courier New" w:cs="Courier New"/>
        </w:rPr>
        <w:t xml:space="preserve">.pdf</w:t>
      </w:r>
      <w:r>
        <w:t xml:space="preserve"> mit eingebetteten Liberation-Schriften und hochauflösenden </w:t>
      </w:r>
      <w:r>
        <w:rPr>
          <w:rFonts w:ascii="Courier New" w:hAnsi="Courier New" w:cs="Courier New"/>
        </w:rPr>
        <w:t xml:space="preserve">.svg</w:t>
      </w:r>
      <w:r>
        <w:t xml:space="preserve">-Vektorgrafiken):</w:t>
      </w:r>
    </w:p>
    <w:p>
      <w:pPr>
        <w:numPr>
          <w:ilvl w:val="0"/>
          <w:numId w:val="2"/>
        </w:numPr>
      </w:pPr>
      <w:r>
        <w:rPr>
          <w:rFonts w:ascii="Courier New" w:hAnsi="Courier New" w:cs="Courier New"/>
        </w:rPr>
        <w:t xml:space="preserve">LIESMICH.md</w:t>
      </w:r>
      <w:r>
        <w:t xml:space="preserve"> (Manifest mit Prüfstatus aller Artefakte)</w:t>
      </w:r>
    </w:p>
    <w:p>
      <w:pPr>
        <w:numPr>
          <w:ilvl w:val="0"/>
          <w:numId w:val="2"/>
        </w:numPr>
      </w:pPr>
      <w:r>
        <w:rPr>
          <w:rFonts w:ascii="Courier New" w:hAnsi="Courier New" w:cs="Courier New"/>
        </w:rPr>
        <w:t xml:space="preserve">titelblatt.md / .docx / .pdf</w:t>
      </w:r>
      <w:r>
        <w:t xml:space="preserve"> (Autoren, ORCID, Affiliationen, CRediT-Taxonomie, PROSPERO/OSF-Registrierung, COI, Finanzierung)</w:t>
      </w:r>
    </w:p>
    <w:p>
      <w:pPr>
        <w:numPr>
          <w:ilvl w:val="0"/>
          <w:numId w:val="2"/>
        </w:numPr>
      </w:pPr>
      <w:r>
        <w:rPr>
          <w:rFonts w:ascii="Courier New" w:hAnsi="Courier New" w:cs="Courier New"/>
        </w:rPr>
        <w:t xml:space="preserve">anschreiben.md / .docx / .pdf</w:t>
      </w:r>
      <w:r>
        <w:t xml:space="preserve"> (Cover Letter an die Zielzeitschrift mit den zentralen Kennzahlen)</w:t>
      </w:r>
    </w:p>
    <w:p>
      <w:pPr>
        <w:numPr>
          <w:ilvl w:val="0"/>
          <w:numId w:val="2"/>
        </w:numPr>
      </w:pPr>
      <w:r>
        <w:rPr>
          <w:rFonts w:ascii="Courier New" w:hAnsi="Courier New" w:cs="Courier New"/>
        </w:rPr>
        <w:t xml:space="preserve">abstract.md / .docx / .pdf</w:t>
      </w:r>
      <w:r>
        <w:t xml:space="preserve"> (Strukturiertes Abstract nach PRISMA-2020-Abstract-Checkliste)</w:t>
      </w:r>
    </w:p>
    <w:p>
      <w:pPr>
        <w:numPr>
          <w:ilvl w:val="0"/>
          <w:numId w:val="2"/>
        </w:numPr>
      </w:pPr>
      <w:r>
        <w:rPr>
          <w:rFonts w:ascii="Courier New" w:hAnsi="Courier New" w:cs="Courier New"/>
        </w:rPr>
        <w:t xml:space="preserve">manuskript.md / .docx / .pdf</w:t>
      </w:r>
      <w:r>
        <w:t xml:space="preserve"> (Vollständiges IMRaD-Manuskript mit eingebetteten Vektor-Abbildungen und exakt einem Hauptmodell ohne Zahlenwidersprüche)</w:t>
      </w:r>
    </w:p>
    <w:p>
      <w:pPr>
        <w:numPr>
          <w:ilvl w:val="0"/>
          <w:numId w:val="2"/>
        </w:numPr>
      </w:pPr>
      <w:r>
        <w:rPr>
          <w:rFonts w:ascii="Courier New" w:hAnsi="Courier New" w:cs="Courier New"/>
        </w:rPr>
        <w:t xml:space="preserve">tabelle-1-studienmerkmale.md / .docx / .pdf</w:t>
      </w:r>
      <w:r>
        <w:t xml:space="preserve"> (Charakteristika aller eingeschlossenen Studien)</w:t>
      </w:r>
    </w:p>
    <w:p>
      <w:pPr>
        <w:numPr>
          <w:ilvl w:val="0"/>
          <w:numId w:val="2"/>
        </w:numPr>
      </w:pPr>
      <w:r>
        <w:rPr>
          <w:rFonts w:ascii="Courier New" w:hAnsi="Courier New" w:cs="Courier New"/>
        </w:rPr>
        <w:t xml:space="preserve">summary-of-findings.md / .docx / .pdf</w:t>
      </w:r>
      <w:r>
        <w:t xml:space="preserve"> (GRADE Summary-of-Findings-Tabelle mit absoluten und relativen Effekten)</w:t>
      </w:r>
    </w:p>
    <w:p>
      <w:pPr>
        <w:numPr>
          <w:ilvl w:val="0"/>
          <w:numId w:val="2"/>
        </w:numPr>
      </w:pPr>
      <w:r>
        <w:rPr>
          <w:rFonts w:ascii="Courier New" w:hAnsi="Courier New" w:cs="Courier New"/>
        </w:rPr>
        <w:t xml:space="preserve">literatur-vancouver.md / .docx / .pdf</w:t>
      </w:r>
      <w:r>
        <w:t xml:space="preserve"> und </w:t>
      </w:r>
      <w:r>
        <w:rPr>
          <w:rFonts w:ascii="Courier New" w:hAnsi="Courier New" w:cs="Courier New"/>
        </w:rPr>
        <w:t xml:space="preserve">literatur-apa.md / .docx / .pdf</w:t>
      </w:r>
      <w:r>
        <w:t xml:space="preserve"> (Formatierte Referenzlisten nach ICMJE/Vancouver und APA 7)</w:t>
      </w:r>
    </w:p>
    <w:p>
      <w:pPr>
        <w:numPr>
          <w:ilvl w:val="0"/>
          <w:numId w:val="2"/>
        </w:numPr>
      </w:pPr>
      <w:r>
        <w:rPr>
          <w:rFonts w:ascii="Courier New" w:hAnsi="Courier New" w:cs="Courier New"/>
        </w:rPr>
        <w:t xml:space="preserve">abbildungen/abbildung-1-prisma-2020.svg</w:t>
      </w:r>
      <w:r>
        <w:t xml:space="preserve">, </w:t>
      </w:r>
      <w:r>
        <w:rPr>
          <w:rFonts w:ascii="Courier New" w:hAnsi="Courier New" w:cs="Courier New"/>
        </w:rPr>
        <w:t xml:space="preserve">abbildung-2-forest-plot.svg</w:t>
      </w:r>
      <w:r>
        <w:t xml:space="preserve">, </w:t>
      </w:r>
      <w:r>
        <w:rPr>
          <w:rFonts w:ascii="Courier New" w:hAnsi="Courier New" w:cs="Courier New"/>
        </w:rPr>
        <w:t xml:space="preserve">abbildung-3-funnel-plot.svg</w:t>
      </w:r>
      <w:r>
        <w:t xml:space="preserve">, </w:t>
      </w:r>
      <w:r>
        <w:rPr>
          <w:rFonts w:ascii="Courier New" w:hAnsi="Courier New" w:cs="Courier New"/>
        </w:rPr>
        <w:t xml:space="preserve">abbildung-4-rob2-ampel.svg</w:t>
      </w:r>
      <w:r>
        <w:t xml:space="preserve">, </w:t>
      </w:r>
      <w:r>
        <w:rPr>
          <w:rFonts w:ascii="Courier New" w:hAnsi="Courier New" w:cs="Courier New"/>
        </w:rPr>
        <w:t xml:space="preserve">abbildung-5-robins-i-ampel.svg</w:t>
      </w:r>
      <w:r>
        <w:t xml:space="preserve"> sowie Subgruppen-Forest-Plots</w:t>
      </w:r>
    </w:p>
    <w:p>
      <w:pPr>
        <w:numPr>
          <w:ilvl w:val="0"/>
          <w:numId w:val="2"/>
        </w:numPr>
      </w:pPr>
      <w:r>
        <w:rPr>
          <w:rFonts w:ascii="Courier New" w:hAnsi="Courier New" w:cs="Courier New"/>
        </w:rPr>
        <w:t xml:space="preserve">anhaenge/prisma-2020-checkliste.md</w:t>
      </w:r>
      <w:r>
        <w:t xml:space="preserve">, </w:t>
      </w:r>
      <w:r>
        <w:rPr>
          <w:rFonts w:ascii="Courier New" w:hAnsi="Courier New" w:cs="Courier New"/>
        </w:rPr>
        <w:t xml:space="preserve">suchanhang-prisma-s.md</w:t>
      </w:r>
      <w:r>
        <w:t xml:space="preserve">, </w:t>
      </w:r>
      <w:r>
        <w:rPr>
          <w:rFonts w:ascii="Courier New" w:hAnsi="Courier New" w:cs="Courier New"/>
        </w:rPr>
        <w:t xml:space="preserve">statistik-anhang.md / .docx / .pdf</w:t>
      </w:r>
      <w:r>
        <w:t xml:space="preserve">, </w:t>
      </w:r>
      <w:r>
        <w:rPr>
          <w:rFonts w:ascii="Courier New" w:hAnsi="Courier New" w:cs="Courier New"/>
        </w:rPr>
        <w:t xml:space="preserve">raise-ki-offenlegung.md / .docx / .pdf</w:t>
      </w:r>
    </w:p>
    <w:p>
      <w:pPr>
        <w:numPr>
          <w:ilvl w:val="0"/>
          <w:numId w:val="2"/>
        </w:numPr>
      </w:pPr>
      <w:r>
        <w:rPr>
          <w:b/>
        </w:rPr>
        <w:t xml:space="preserve">Wissenschaftliches Konferenzposter (DIN A0 als SVG/PDF) &amp; Vortragsfolien (</w:t>
      </w:r>
      <w:r>
        <w:rPr>
          <w:rFonts w:ascii="Courier New" w:hAnsi="Courier New" w:cs="Courier New"/>
        </w:rPr>
        <w:t xml:space="preserve">lib/poster.ts</w:t>
      </w:r>
      <w:r>
        <w:rPr>
          <w:b/>
        </w:rPr>
        <w:t xml:space="preserve">, </w:t>
      </w:r>
      <w:r>
        <w:rPr>
          <w:rFonts w:ascii="Courier New" w:hAnsi="Courier New" w:cs="Courier New"/>
        </w:rPr>
        <w:t xml:space="preserve">VortragPanel.tsx</w:t>
      </w:r>
      <w:r>
        <w:rPr>
          <w:b/>
        </w:rPr>
        <w:t xml:space="preserve">)</w:t>
      </w:r>
    </w:p>
    <w:p>
      <w:pPr>
        <w:pBdr>
          <w:bottom w:val="single" w:sz="6" w:space="1" w:color="B4B4B4"/>
        </w:pBdr>
      </w:pPr>
    </w:p>
    <w:p>
      <w:pPr>
        <w:pStyle w:val="Ueberschrift4"/>
      </w:pPr>
      <w:r>
        <w:t xml:space="preserve">8.5 🎓 Studi-Modus (</w:t>
      </w:r>
      <w:r>
        <w:rPr>
          <w:rFonts w:ascii="Courier New" w:hAnsi="Courier New" w:cs="Courier New"/>
        </w:rPr>
        <w:t xml:space="preserve">Student Mode</w:t>
      </w:r>
      <w:r>
        <w:t xml:space="preserve">) &amp; Zweisprachigkeit (</w:t>
      </w:r>
      <w:r>
        <w:rPr>
          <w:rFonts w:ascii="Courier New" w:hAnsi="Courier New" w:cs="Courier New"/>
        </w:rPr>
        <w:t xml:space="preserve">DE</w:t>
      </w:r>
      <w:r>
        <w:t xml:space="preserve"> / </w:t>
      </w:r>
      <w:r>
        <w:rPr>
          <w:rFonts w:ascii="Courier New" w:hAnsi="Courier New" w:cs="Courier New"/>
        </w:rPr>
        <w:t xml:space="preserve">EN</w:t>
      </w:r>
      <w:r>
        <w:t xml:space="preserve">) — „Sicher Auto fahren, ohne die Physik des Motors studiert zu haben“</w:t>
      </w:r>
    </w:p>
    <w:p>
      <w:pPr>
        <w:jc w:val="center"/>
        <w:spacing w:before="120" w:after="60" w:line="240" w:lineRule="auto"/>
      </w:pPr>
      <w:r>
        <w:drawing>
          <wp:inline distT="0" distB="0" distL="0" distR="0">
            <wp:extent cx="5759450" cy="3671649"/>
            <wp:docPr id="17" name="Abbildung 17"/>
            <wp:cNvGraphicFramePr>
              <a:graphicFrameLocks noChangeAspect="1"/>
            </wp:cNvGraphicFramePr>
            <a:graphic>
              <a:graphicData uri="http://schemas.openxmlformats.org/drawingml/2006/picture">
                <pic:pic>
                  <pic:nvPicPr>
                    <pic:cNvPr id="17" name="image17.png"/>
                    <pic:cNvPicPr/>
                  </pic:nvPicPr>
                  <pic:blipFill>
                    <a:blip r:embed="rIdBild17"/>
                    <a:stretch>
                      <a:fillRect/>
                    </a:stretch>
                  </pic:blipFill>
                  <pic:spPr>
                    <a:xfrm>
                      <a:off x="0" y="0"/>
                      <a:ext cx="5759450" cy="3671649"/>
                    </a:xfrm>
                    <a:prstGeom prst="rect">
                      <a:avLst/>
                    </a:prstGeom>
                  </pic:spPr>
                </pic:pic>
              </a:graphicData>
            </a:graphic>
          </wp:inline>
        </w:drawing>
      </w:r>
    </w:p>
    <w:p>
      <w:r>
        <w:rPr>
          <w:b/>
          <w:sz w:val="18"/>
          <w:szCs w:val="18"/>
        </w:rPr>
        <w:t xml:space="preserve">Abbildung 17: </w:t>
      </w:r>
      <w:r>
        <w:rPr>
          <w:i/>
          <w:sz w:val="18"/>
          <w:szCs w:val="18"/>
        </w:rPr>
        <w:t xml:space="preserve">🎓 Studi-Modus Hub mit Starter-Themen &amp; KI-Voice-Co-Pilot (17-studi-modus-voice-lotse.png)</w:t>
      </w:r>
    </w:p>
    <w:p>
      <w:r>
        <w:t xml:space="preserve">Nicht jeder Mensch, der eine wissenschaftlich belastbare Antwort auf eine klinische, psychologische oder pädagogische Frage sucht, hat Biostatistik im Hauptfach studiert. Selbst Studierende in höheren Semestern (Psychologie, Medizin, Lehramt, Gesundheitswissenschaften) verwechseln im Alltag noch Mittelwert und Median — und auch interessierte Eltern (z. B. </w:t>
      </w:r>
      <w:r>
        <w:rPr>
          <w:i/>
        </w:rPr>
        <w:t xml:space="preserve">„Hilft Ritalin bei ADHS wirklich?“</w:t>
      </w:r>
      <w:r>
        <w:t xml:space="preserve">) oder Jugendliche (z. B. </w:t>
      </w:r>
      <w:r>
        <w:rPr>
          <w:i/>
        </w:rPr>
        <w:t xml:space="preserve">„Verkürzen Smartphones unsere Aufmerksamkeitsspanne?“</w:t>
      </w:r>
      <w:r>
        <w:t xml:space="preserve">) wollen echte Evidenz statt Meinungsblogs prüfen.</w:t>
      </w:r>
    </w:p>
    <w:p>
      <w:r>
        <w:t xml:space="preserve">Hierfür bietet EvidenzWerk unter </w:t>
      </w:r>
      <w:r>
        <w:rPr>
          <w:rFonts w:ascii="Courier New" w:hAnsi="Courier New" w:cs="Courier New"/>
        </w:rPr>
        <w:t xml:space="preserve">/studi</w:t>
      </w:r>
      <w:r>
        <w:t xml:space="preserve"> (</w:t>
      </w:r>
      <w:r>
        <w:rPr>
          <w:rFonts w:ascii="Courier New" w:hAnsi="Courier New" w:cs="Courier New"/>
        </w:rPr>
        <w:t xml:space="preserve">app/studi/page.tsx</w:t>
      </w:r>
      <w:r>
        <w:t xml:space="preserve">) und in jedem Projekt unter </w:t>
      </w:r>
      <w:r>
        <w:rPr>
          <w:rFonts w:ascii="Courier New" w:hAnsi="Courier New" w:cs="Courier New"/>
        </w:rPr>
        <w:t xml:space="preserve">/p/[id]/studi</w:t>
      </w:r>
      <w:r>
        <w:t xml:space="preserve"> ([</w:t>
      </w:r>
      <w:r>
        <w:rPr>
          <w:rFonts w:ascii="Courier New" w:hAnsi="Courier New" w:cs="Courier New"/>
        </w:rPr>
        <w:t xml:space="preserve">app/p/[id]/studi/page.tsx</w:t>
      </w:r>
      <w:r>
        <w:t xml:space="preserve">](file:///Users/franzhuetter/evidenzwerk/app/p/%5Bid%5D/studi/page.tsx)) den geführten </w:t>
      </w:r>
      <w:r>
        <w:rPr>
          <w:b/>
        </w:rPr>
        <w:t xml:space="preserve">🎓 Studi-Modus</w:t>
      </w:r>
      <w:r>
        <w:t xml:space="preserve"> (englisch: </w:t>
      </w:r>
      <w:r>
        <w:rPr>
          <w:b/>
        </w:rPr>
        <w:t xml:space="preserve">🎓 Student Mode</w:t>
      </w:r>
      <w:r>
        <w:t xml:space="preserve">) sowie eine durchgängige </w:t>
      </w:r>
      <w:r>
        <w:rPr>
          <w:b/>
        </w:rPr>
        <w:t xml:space="preserve">Zweisprachigkeit (</w:t>
      </w:r>
      <w:r>
        <w:rPr>
          <w:rFonts w:ascii="Courier New" w:hAnsi="Courier New" w:cs="Courier New"/>
        </w:rPr>
        <w:t xml:space="preserve">🇩🇪 DE | 🇬🇧 EN</w:t>
      </w:r>
      <w:r>
        <w:rPr>
          <w:b/>
        </w:rPr>
        <w:t xml:space="preserve"> via </w:t>
      </w:r>
      <w:r>
        <w:rPr>
          <w:rFonts w:ascii="Courier New" w:hAnsi="Courier New" w:cs="Courier New"/>
        </w:rPr>
        <w:t xml:space="preserve">LanguageToggle.tsx</w:t>
      </w:r>
      <w:r>
        <w:rPr>
          <w:b/>
        </w:rPr>
        <w:t xml:space="preserve">, </w:t>
      </w:r>
      <w:r>
        <w:rPr>
          <w:rFonts w:ascii="Courier New" w:hAnsi="Courier New" w:cs="Courier New"/>
        </w:rPr>
        <w:t xml:space="preserve">lib/i18n.ts</w:t>
      </w:r>
      <w:r>
        <w:rPr>
          <w:b/>
        </w:rPr>
        <w:t xml:space="preserve">)</w:t>
      </w:r>
      <w:r>
        <w:t xml:space="preserve">:</w:t>
      </w:r>
    </w:p>
    <w:p>
      <w:pPr>
        <w:numPr>
          <w:ilvl w:val="0"/>
          <w:numId w:val="2"/>
        </w:numPr>
      </w:pPr>
      <w:r>
        <w:rPr>
          <w:b/>
        </w:rPr>
        <w:t xml:space="preserve">KI-Voice- &amp; Chat-Co-Pilot (</w:t>
      </w:r>
      <w:r>
        <w:rPr>
          <w:rFonts w:ascii="Courier New" w:hAnsi="Courier New" w:cs="Courier New"/>
        </w:rPr>
        <w:t xml:space="preserve">WizardVoiceBot.tsx</w:t>
      </w:r>
      <w:r>
        <w:rPr>
          <w:b/>
        </w:rPr>
        <w:t xml:space="preserve">, </w:t>
      </w:r>
      <w:r>
        <w:rPr>
          <w:rFonts w:ascii="Courier New" w:hAnsi="Courier New" w:cs="Courier New"/>
        </w:rPr>
        <w:t xml:space="preserve">app/api/wizard/assistant/route.ts</w:t>
      </w:r>
      <w:r>
        <w:rPr>
          <w:b/>
        </w:rPr>
        <w:t xml:space="preserve">):</w:t>
      </w:r>
    </w:p>
    <w:p>
      <w:pPr>
        <w:numPr>
          <w:ilvl w:val="0"/>
          <w:numId w:val="1"/>
        </w:numPr>
      </w:pPr>
      <w:r>
        <w:t xml:space="preserve">Unterstützt </w:t>
      </w:r>
      <w:r>
        <w:rPr>
          <w:b/>
        </w:rPr>
        <w:t xml:space="preserve">Spracheingabe per Mikrofon (Speech-to-Text)</w:t>
      </w:r>
      <w:r>
        <w:t xml:space="preserve"> und </w:t>
      </w:r>
      <w:r>
        <w:rPr>
          <w:b/>
        </w:rPr>
        <w:t xml:space="preserve">Vorlesen per Sprachausgabe (Text-to-Speech)</w:t>
      </w:r>
      <w:r>
        <w:t xml:space="preserve"> auf Deutsch (</w:t>
      </w:r>
      <w:r>
        <w:rPr>
          <w:rFonts w:ascii="Courier New" w:hAnsi="Courier New" w:cs="Courier New"/>
        </w:rPr>
        <w:t xml:space="preserve">de-DE</w:t>
      </w:r>
      <w:r>
        <w:t xml:space="preserve">) und Englisch (</w:t>
      </w:r>
      <w:r>
        <w:rPr>
          <w:rFonts w:ascii="Courier New" w:hAnsi="Courier New" w:cs="Courier New"/>
        </w:rPr>
        <w:t xml:space="preserve">en-US</w:t>
      </w:r>
      <w:r>
        <w:t xml:space="preserve">).</w:t>
      </w:r>
    </w:p>
    <w:p>
      <w:pPr>
        <w:numPr>
          <w:ilvl w:val="0"/>
          <w:numId w:val="1"/>
        </w:numPr>
      </w:pPr>
      <w:r>
        <w:t xml:space="preserve">Erklärt jederzeit begründet am echten Datenbestand des Projekts Fragen wie </w:t>
      </w:r>
      <w:r>
        <w:rPr>
          <w:i/>
        </w:rPr>
        <w:t xml:space="preserve">„Was ist der Unterschied zwischen Mittelwert, Median und Hedges' g?“</w:t>
      </w:r>
      <w:r>
        <w:t xml:space="preserve">, </w:t>
      </w:r>
      <w:r>
        <w:rPr>
          <w:i/>
        </w:rPr>
        <w:t xml:space="preserve">„Warum schützt die Drei-Ebenen-CR2-Analyse vor doppelter Zählung?“</w:t>
      </w:r>
      <w:r>
        <w:t xml:space="preserve"> oder </w:t>
      </w:r>
      <w:r>
        <w:rPr>
          <w:i/>
        </w:rPr>
        <w:t xml:space="preserve">„Wie komme ich ohne Uni-Login an gesperrte Studien?“</w:t>
      </w:r>
      <w:r>
        <w:t xml:space="preserve">.</w:t>
      </w:r>
    </w:p>
    <w:p>
      <w:pPr>
        <w:numPr>
          <w:ilvl w:val="0"/>
          <w:numId w:val="2"/>
        </w:numPr>
      </w:pPr>
      <w:r>
        <w:rPr>
          <w:b/>
        </w:rPr>
        <w:t xml:space="preserve">Station 1 — Vom Alltags-Gedanken zum präzisen PICOS-Protokoll (</w:t>
      </w:r>
      <w:r>
        <w:rPr>
          <w:rFonts w:ascii="Courier New" w:hAnsi="Courier New" w:cs="Courier New"/>
        </w:rPr>
        <w:t xml:space="preserve">StudiQuestionTranslator.tsx</w:t>
      </w:r>
      <w:r>
        <w:rPr>
          <w:b/>
        </w:rPr>
        <w:t xml:space="preserve">):</w:t>
      </w:r>
    </w:p>
    <w:p>
      <w:pPr>
        <w:numPr>
          <w:ilvl w:val="0"/>
          <w:numId w:val="1"/>
        </w:numPr>
      </w:pPr>
      <w:r>
        <w:t xml:space="preserve">Bietet 4 sofort startbare Kuratierte Themen (</w:t>
      </w:r>
      <w:r>
        <w:rPr>
          <w:i/>
        </w:rPr>
        <w:t xml:space="preserve">Ritalin/Methylphenidat bei ADHS</w:t>
      </w:r>
      <w:r>
        <w:t xml:space="preserve">, </w:t>
      </w:r>
      <w:r>
        <w:rPr>
          <w:i/>
        </w:rPr>
        <w:t xml:space="preserve">Smartphones &amp; Aufmerksamkeitsspanne</w:t>
      </w:r>
      <w:r>
        <w:t xml:space="preserve">, </w:t>
      </w:r>
      <w:r>
        <w:rPr>
          <w:i/>
        </w:rPr>
        <w:t xml:space="preserve">Verhaltenstherapie gegen Prüfungsangst</w:t>
      </w:r>
      <w:r>
        <w:t xml:space="preserve">, </w:t>
      </w:r>
      <w:r>
        <w:rPr>
          <w:i/>
        </w:rPr>
        <w:t xml:space="preserve">Ausdauersport gegen Depression</w:t>
      </w:r>
      <w:r>
        <w:t xml:space="preserve">) und übersetzt jede eigene Alltagsfrage automatisch in die fünf wissenschaftlichen PICOS-Bausteine.</w:t>
      </w:r>
    </w:p>
    <w:p>
      <w:pPr>
        <w:jc w:val="center"/>
        <w:spacing w:before="120" w:after="60" w:line="240" w:lineRule="auto"/>
      </w:pPr>
      <w:r>
        <w:drawing>
          <wp:inline distT="0" distB="0" distL="0" distR="0">
            <wp:extent cx="5759450" cy="3671649"/>
            <wp:docPr id="18" name="Abbildung 18"/>
            <wp:cNvGraphicFramePr>
              <a:graphicFrameLocks noChangeAspect="1"/>
            </wp:cNvGraphicFramePr>
            <a:graphic>
              <a:graphicData uri="http://schemas.openxmlformats.org/drawingml/2006/picture">
                <pic:pic>
                  <pic:nvPicPr>
                    <pic:cNvPr id="18" name="image18.png"/>
                    <pic:cNvPicPr/>
                  </pic:nvPicPr>
                  <pic:blipFill>
                    <a:blip r:embed="rIdBild18"/>
                    <a:stretch>
                      <a:fillRect/>
                    </a:stretch>
                  </pic:blipFill>
                  <pic:spPr>
                    <a:xfrm>
                      <a:off x="0" y="0"/>
                      <a:ext cx="5759450" cy="3671649"/>
                    </a:xfrm>
                    <a:prstGeom prst="rect">
                      <a:avLst/>
                    </a:prstGeom>
                  </pic:spPr>
                </pic:pic>
              </a:graphicData>
            </a:graphic>
          </wp:inline>
        </w:drawing>
      </w:r>
    </w:p>
    <w:p>
      <w:r>
        <w:rPr>
          <w:b/>
          <w:sz w:val="18"/>
          <w:szCs w:val="18"/>
        </w:rPr>
        <w:t xml:space="preserve">Abbildung 18: </w:t>
      </w:r>
      <w:r>
        <w:rPr>
          <w:i/>
          <w:sz w:val="18"/>
          <w:szCs w:val="18"/>
        </w:rPr>
        <w:t xml:space="preserve">🎓 Studi-Modus Station 4: 3-Stufen-Paywall- &amp; Volltext-Lotse ohne Uni-Zugang (18-studi-modus-paywall-lenkrad-klartext.png)</w:t>
      </w:r>
    </w:p>
    <w:p>
      <w:pPr>
        <w:numPr>
          <w:ilvl w:val="0"/>
          <w:numId w:val="2"/>
        </w:numPr>
      </w:pPr>
      <w:r>
        <w:rPr>
          <w:b/>
        </w:rPr>
        <w:t xml:space="preserve">Station 4 — Der 3-Stufen-Paywall- &amp; Volltext-Lotse für Nutzer ohne Universitäts-Bibliothekszugang (</w:t>
      </w:r>
      <w:r>
        <w:rPr>
          <w:rFonts w:ascii="Courier New" w:hAnsi="Courier New" w:cs="Courier New"/>
        </w:rPr>
        <w:t xml:space="preserve">StudiPaywallNavigator.tsx</w:t>
      </w:r>
      <w:r>
        <w:rPr>
          <w:b/>
        </w:rPr>
        <w:t xml:space="preserve">, </w:t>
      </w:r>
      <w:r>
        <w:rPr>
          <w:rFonts w:ascii="Courier New" w:hAnsi="Courier New" w:cs="Courier New"/>
        </w:rPr>
        <w:t xml:space="preserve">analyzePaywallStatusForProject</w:t>
      </w:r>
      <w:r>
        <w:rPr>
          <w:b/>
        </w:rPr>
        <w:t xml:space="preserve">):</w:t>
      </w:r>
    </w:p>
    <w:p>
      <w:pPr>
        <w:numPr>
          <w:ilvl w:val="0"/>
          <w:numId w:val="1"/>
        </w:numPr>
      </w:pPr>
      <w:r>
        <w:rPr>
          <w:b/>
        </w:rPr>
        <w:t xml:space="preserve">Stufe 1 (Gratis Open Access zuerst ausschöpfen):</w:t>
      </w:r>
      <w:r>
        <w:t xml:space="preserve"> Prüft vollautomatisch Unpaywall, PubMed Central (PMC), Europe PMC und OpenAlex auf legal frei verfügbare Autoren- oder Verlagsvolltexte.</w:t>
      </w:r>
    </w:p>
    <w:p>
      <w:pPr>
        <w:numPr>
          <w:ilvl w:val="0"/>
          <w:numId w:val="1"/>
        </w:numPr>
      </w:pPr>
      <w:r>
        <w:rPr>
          <w:b/>
        </w:rPr>
        <w:t xml:space="preserve">Stufe 2 (Verlags-Paywall ehrlich &amp; pragmatisch überwinden):</w:t>
      </w:r>
      <w:r>
        <w:t xml:space="preserve"> Liegt ein Artikel hinter einer Bezahlschranke, bietet die Studienkarte drei klare Wege ohne Instituts-Login:</w:t>
      </w:r>
    </w:p>
    <w:p>
      <w:pPr>
        <w:numPr>
          <w:ilvl w:val="0"/>
          <w:numId w:val="1"/>
        </w:numPr>
      </w:pPr>
      <w:r>
        <w:rPr>
          <w:b/>
        </w:rPr>
        <w:t xml:space="preserve">Weg A (Direkt beim Verlag kaufen / 24h-Lesemiete):</w:t>
      </w:r>
      <w:r>
        <w:t xml:space="preserve"> Direkter DOI-Link zur Verlagsseite sowie Direktlink zur kostengünstigen 24-Stunden-Lesemiete (z. B. DeepDyve) plus </w:t>
      </w:r>
      <w:r>
        <w:rPr>
          <w:b/>
        </w:rPr>
        <w:t xml:space="preserve">PDF-Upload-Knopf</w:t>
      </w:r>
      <w:r>
        <w:t xml:space="preserve"> direkt in der Karte, der das erworbene PDF sofort per KI mit wörtlichem Belegzitat ausliest.</w:t>
      </w:r>
    </w:p>
    <w:p>
      <w:pPr>
        <w:numPr>
          <w:ilvl w:val="0"/>
          <w:numId w:val="1"/>
        </w:numPr>
      </w:pPr>
      <w:r>
        <w:rPr>
          <w:b/>
        </w:rPr>
        <w:t xml:space="preserve">Weg B (Kostenloses Autoren-Manuskript anfordern):</w:t>
      </w:r>
      <w:r>
        <w:t xml:space="preserve"> Erzeugt mit einem Klick eine höfliche, fertige Anfrage-E-Mail (DE/EN) an die Korrespondenzautor:innen zur Zusendung des kostenlosen </w:t>
      </w:r>
      <w:r>
        <w:rPr>
          <w:i/>
        </w:rPr>
        <w:t xml:space="preserve">Accepted Author Manuscript</w:t>
      </w:r>
      <w:r>
        <w:t xml:space="preserve">.</w:t>
      </w:r>
    </w:p>
    <w:p>
      <w:pPr>
        <w:numPr>
          <w:ilvl w:val="0"/>
          <w:numId w:val="1"/>
        </w:numPr>
      </w:pPr>
      <w:r>
        <w:rPr>
          <w:b/>
        </w:rPr>
        <w:t xml:space="preserve">Weg C (Mit kostenloser Kurzfassung / Abstract weiterarbeiten):</w:t>
      </w:r>
      <w:r>
        <w:t xml:space="preserve"> Nutzt die im öffentlichen PubMed-/OpenAlex-Abstract berichteten Kennzahlen und versieht die Studie automatisch mit einem Sensitivitäts-Prüfvermerk.</w:t>
      </w:r>
    </w:p>
    <w:p>
      <w:pPr>
        <w:jc w:val="center"/>
        <w:spacing w:before="120" w:after="60" w:line="240" w:lineRule="auto"/>
      </w:pPr>
      <w:r>
        <w:drawing>
          <wp:inline distT="0" distB="0" distL="0" distR="0">
            <wp:extent cx="5759450" cy="3671649"/>
            <wp:docPr id="19" name="Abbildung 19"/>
            <wp:cNvGraphicFramePr>
              <a:graphicFrameLocks noChangeAspect="1"/>
            </wp:cNvGraphicFramePr>
            <a:graphic>
              <a:graphicData uri="http://schemas.openxmlformats.org/drawingml/2006/picture">
                <pic:pic>
                  <pic:nvPicPr>
                    <pic:cNvPr id="19" name="image19.png"/>
                    <pic:cNvPicPr/>
                  </pic:nvPicPr>
                  <pic:blipFill>
                    <a:blip r:embed="rIdBild19"/>
                    <a:stretch>
                      <a:fillRect/>
                    </a:stretch>
                  </pic:blipFill>
                  <pic:spPr>
                    <a:xfrm>
                      <a:off x="0" y="0"/>
                      <a:ext cx="5759450" cy="3671649"/>
                    </a:xfrm>
                    <a:prstGeom prst="rect">
                      <a:avLst/>
                    </a:prstGeom>
                  </pic:spPr>
                </pic:pic>
              </a:graphicData>
            </a:graphic>
          </wp:inline>
        </w:drawing>
      </w:r>
    </w:p>
    <w:p>
      <w:r>
        <w:rPr>
          <w:b/>
          <w:sz w:val="18"/>
          <w:szCs w:val="18"/>
        </w:rPr>
        <w:t xml:space="preserve">Abbildung 19: </w:t>
      </w:r>
      <w:r>
        <w:rPr>
          <w:i/>
          <w:sz w:val="18"/>
          <w:szCs w:val="18"/>
        </w:rPr>
        <w:t xml:space="preserve">🎓 Student Mode (EN): Die 5 Methodischen Lenkrad-Weichen (19-student-mode-english.png)</w:t>
      </w:r>
    </w:p>
    <w:p>
      <w:pPr>
        <w:numPr>
          <w:ilvl w:val="0"/>
          <w:numId w:val="2"/>
        </w:numPr>
      </w:pPr>
      <w:r>
        <w:rPr>
          <w:b/>
        </w:rPr>
        <w:t xml:space="preserve">Station 5 — Die 5 Methodischen Lenkrad-Weichen (</w:t>
      </w:r>
      <w:r>
        <w:rPr>
          <w:rFonts w:ascii="Courier New" w:hAnsi="Courier New" w:cs="Courier New"/>
        </w:rPr>
        <w:t xml:space="preserve">buildSteeringDecisions</w:t>
      </w:r>
      <w:r>
        <w:rPr>
          <w:b/>
        </w:rPr>
        <w:t xml:space="preserve">):</w:t>
      </w:r>
    </w:p>
    <w:p>
      <w:r>
        <w:t xml:space="preserve">Statt abstrakter Statistik-Parameter steuern Nutzer:innen fünf verständliche Weichen, während unter der Haube der volle R/metafor-Rechenkern arbeitet (inklusive aufklappbarer </w:t>
      </w:r>
      <w:r>
        <w:rPr>
          <w:i/>
        </w:rPr>
        <w:t xml:space="preserve">Glass-Box Engine Details</w:t>
      </w:r>
      <w:r>
        <w:t xml:space="preserve"> für Betreuer:innen und Statistik-Prüfer):</w:t>
      </w:r>
    </w:p>
    <w:p>
      <w:pPr>
        <w:numPr>
          <w:ilvl w:val="0"/>
          <w:numId w:val="1"/>
        </w:numPr>
      </w:pPr>
      <w:r>
        <w:rPr>
          <w:b/>
        </w:rPr>
        <w:t xml:space="preserve">Weiche 1 (Fairer Vergleich):</w:t>
      </w:r>
      <w:r>
        <w:t xml:space="preserve"> Experiment (RCT mit Zufallslos) vs. Beobachtungsstudie sauber trennen und passend mit RoB 2 bzw. ROBINS-I prüfen.</w:t>
      </w:r>
    </w:p>
    <w:p>
      <w:pPr>
        <w:numPr>
          <w:ilvl w:val="0"/>
          <w:numId w:val="1"/>
        </w:numPr>
      </w:pPr>
      <w:r>
        <w:rPr>
          <w:b/>
        </w:rPr>
        <w:t xml:space="preserve">Weiche 2 (Gemeinsamer Maßstab):</w:t>
      </w:r>
      <w:r>
        <w:t xml:space="preserve"> Automatische Wahl der passenden Effektgröße (z. B. Hedges' g bei unterschiedlichen Testskalen, Risk Ratio / Odds Ratio bei Ja/Nein-Ereignissen, Hazard Ratio bei Überlebenszeit).</w:t>
      </w:r>
    </w:p>
    <w:p>
      <w:pPr>
        <w:numPr>
          <w:ilvl w:val="0"/>
          <w:numId w:val="1"/>
        </w:numPr>
      </w:pPr>
      <w:r>
        <w:rPr>
          <w:b/>
        </w:rPr>
        <w:t xml:space="preserve">Weiche 3 (Schutz vor Mehrfach-Zählung):</w:t>
      </w:r>
      <w:r>
        <w:t xml:space="preserve"> Automatische Aktivierung der </w:t>
      </w:r>
      <w:r>
        <w:rPr>
          <w:b/>
        </w:rPr>
        <w:t xml:space="preserve">Drei-Ebenen-Meta-Analyse (</w:t>
      </w:r>
      <w:r>
        <w:rPr>
          <w:rFonts w:ascii="Courier New" w:hAnsi="Courier New" w:cs="Courier New"/>
        </w:rPr>
        <w:t xml:space="preserve">metafor::rma.mv</w:t>
      </w:r>
      <w:r>
        <w:rPr>
          <w:b/>
        </w:rPr>
        <w:t xml:space="preserve">) mit </w:t>
      </w:r>
      <w:r>
        <w:rPr>
          <w:rFonts w:ascii="Courier New" w:hAnsi="Courier New" w:cs="Courier New"/>
        </w:rPr>
        <w:t xml:space="preserve">clubSandwich</w:t>
      </w:r>
      <w:r>
        <w:rPr>
          <w:b/>
        </w:rPr>
        <w:t xml:space="preserve"> CR2</w:t>
      </w:r>
      <w:r>
        <w:t xml:space="preserve">, sobald eine Studie mehrere Tests an denselben Teilnehmenden berichtet.</w:t>
      </w:r>
    </w:p>
    <w:p>
      <w:pPr>
        <w:numPr>
          <w:ilvl w:val="0"/>
          <w:numId w:val="1"/>
        </w:numPr>
      </w:pPr>
      <w:r>
        <w:rPr>
          <w:b/>
        </w:rPr>
        <w:t xml:space="preserve">Weiche 4 (Echte Vielfalt statt Gleichmacherei):</w:t>
      </w:r>
      <w:r>
        <w:t xml:space="preserve"> Random-Effects REML + Knapp-Hartung mit 95-%-Prädiktionsintervall als ehrlicher Standard.</w:t>
      </w:r>
    </w:p>
    <w:p>
      <w:pPr>
        <w:numPr>
          <w:ilvl w:val="0"/>
          <w:numId w:val="1"/>
        </w:numPr>
      </w:pPr>
      <w:r>
        <w:rPr>
          <w:b/>
        </w:rPr>
        <w:t xml:space="preserve">Weiche 5 (Schubladen-Check):</w:t>
      </w:r>
      <w:r>
        <w:t xml:space="preserve"> Automatische Prüfung auf unveröffentlichte Studien und Small-Study-Effects.</w:t>
      </w:r>
    </w:p>
    <w:p>
      <w:pPr>
        <w:jc w:val="center"/>
        <w:spacing w:before="120" w:after="60" w:line="240" w:lineRule="auto"/>
      </w:pPr>
      <w:r>
        <w:drawing>
          <wp:inline distT="0" distB="0" distL="0" distR="0">
            <wp:extent cx="5759450" cy="3671649"/>
            <wp:docPr id="20" name="Abbildung 20"/>
            <wp:cNvGraphicFramePr>
              <a:graphicFrameLocks noChangeAspect="1"/>
            </wp:cNvGraphicFramePr>
            <a:graphic>
              <a:graphicData uri="http://schemas.openxmlformats.org/drawingml/2006/picture">
                <pic:pic>
                  <pic:nvPicPr>
                    <pic:cNvPr id="20" name="image20.png"/>
                    <pic:cNvPicPr/>
                  </pic:nvPicPr>
                  <pic:blipFill>
                    <a:blip r:embed="rIdBild20"/>
                    <a:stretch>
                      <a:fillRect/>
                    </a:stretch>
                  </pic:blipFill>
                  <pic:spPr>
                    <a:xfrm>
                      <a:off x="0" y="0"/>
                      <a:ext cx="5759450" cy="3671649"/>
                    </a:xfrm>
                    <a:prstGeom prst="rect">
                      <a:avLst/>
                    </a:prstGeom>
                  </pic:spPr>
                </pic:pic>
              </a:graphicData>
            </a:graphic>
          </wp:inline>
        </w:drawing>
      </w:r>
    </w:p>
    <w:p>
      <w:r>
        <w:rPr>
          <w:b/>
          <w:sz w:val="18"/>
          <w:szCs w:val="18"/>
        </w:rPr>
        <w:t xml:space="preserve">Abbildung 20: </w:t>
      </w:r>
      <w:r>
        <w:rPr>
          <w:i/>
          <w:sz w:val="18"/>
          <w:szCs w:val="18"/>
        </w:rPr>
        <w:t xml:space="preserve">🎓 Student Mode (EN): Klartext-Ergebnis-Dolmetscher, Alltags-Wahrscheinlichkeit (CLES) &amp; Dossier-Download (20-student-mode-dossier-english.png)</w:t>
      </w:r>
    </w:p>
    <w:p>
      <w:pPr>
        <w:numPr>
          <w:ilvl w:val="0"/>
          <w:numId w:val="2"/>
        </w:numPr>
      </w:pPr>
      <w:r>
        <w:rPr>
          <w:b/>
        </w:rPr>
        <w:t xml:space="preserve">Station 6 &amp; 7 — Der Klartext-Ergebnis-Dolmetscher, das Verständliche Ergebnis-Dossier (</w:t>
      </w:r>
      <w:r>
        <w:rPr>
          <w:rFonts w:ascii="Courier New" w:hAnsi="Courier New" w:cs="Courier New"/>
        </w:rPr>
        <w:t xml:space="preserve">PDF</w:t>
      </w:r>
      <w:r>
        <w:rPr>
          <w:b/>
        </w:rPr>
        <w:t xml:space="preserve">/</w:t>
      </w:r>
      <w:r>
        <w:rPr>
          <w:rFonts w:ascii="Courier New" w:hAnsi="Courier New" w:cs="Courier New"/>
        </w:rPr>
        <w:t xml:space="preserve">DOCX</w:t>
      </w:r>
      <w:r>
        <w:rPr>
          <w:b/>
        </w:rPr>
        <w:t xml:space="preserve">/</w:t>
      </w:r>
      <w:r>
        <w:rPr>
          <w:rFonts w:ascii="Courier New" w:hAnsi="Courier New" w:cs="Courier New"/>
        </w:rPr>
        <w:t xml:space="preserve">MD</w:t>
      </w:r>
      <w:r>
        <w:rPr>
          <w:b/>
        </w:rPr>
        <w:t xml:space="preserve">) &amp; das ausführbare R-Skript (</w:t>
      </w:r>
      <w:r>
        <w:rPr>
          <w:rFonts w:ascii="Courier New" w:hAnsi="Courier New" w:cs="Courier New"/>
        </w:rPr>
        <w:t xml:space="preserve">reproduce.R</w:t>
      </w:r>
      <w:r>
        <w:rPr>
          <w:b/>
        </w:rPr>
        <w:t xml:space="preserve">) (</w:t>
      </w:r>
      <w:r>
        <w:rPr>
          <w:rFonts w:ascii="Courier New" w:hAnsi="Courier New" w:cs="Courier New"/>
        </w:rPr>
        <w:t xml:space="preserve">lib/klartext-dossier.ts</w:t>
      </w:r>
      <w:r>
        <w:rPr>
          <w:b/>
        </w:rPr>
        <w:t xml:space="preserve">):</w:t>
      </w:r>
    </w:p>
    <w:p>
      <w:pPr>
        <w:numPr>
          <w:ilvl w:val="0"/>
          <w:numId w:val="1"/>
        </w:numPr>
      </w:pPr>
      <w:r>
        <w:t xml:space="preserve">Übersetzt den abstrakten Gesamtschätzer (z. B. g = 0,71) zusätzlich in die anschauliche </w:t>
      </w:r>
      <w:r>
        <w:rPr>
          <w:b/>
        </w:rPr>
        <w:t xml:space="preserve">Common Language Effect Size (CLES nach McGraw &amp; Wong 1992)</w:t>
      </w:r>
      <w:r>
        <w:t xml:space="preserve">: </w:t>
      </w:r>
      <w:r>
        <w:rPr>
          <w:i/>
        </w:rPr>
        <w:t xml:space="preserve">„69,2 von 100 Personen in der Interventionsgruppe schneiden besser ab als eine zufällige Person der Vergleichsgruppe (50 % = Münzwurf)“</w:t>
      </w:r>
      <w:r>
        <w:t xml:space="preserve">.</w:t>
      </w:r>
    </w:p>
    <w:p>
      <w:pPr>
        <w:numPr>
          <w:ilvl w:val="0"/>
          <w:numId w:val="1"/>
        </w:numPr>
      </w:pPr>
      <w:r>
        <w:t xml:space="preserve">Erzeugt neben dem 29-teiligen wissenschaftlichen Zeitschriften-Einreichungspaket ein eigenständiges </w:t>
      </w:r>
      <w:r>
        <w:rPr>
          <w:b/>
        </w:rPr>
        <w:t xml:space="preserve">Verständliches Ergebnis-Dossier (</w:t>
      </w:r>
      <w:r>
        <w:rPr>
          <w:rFonts w:ascii="Courier New" w:hAnsi="Courier New" w:cs="Courier New"/>
        </w:rPr>
        <w:t xml:space="preserve">klartext-ergebnis-dossier.pdf / .docx</w:t>
      </w:r>
      <w:r>
        <w:rPr>
          <w:b/>
        </w:rPr>
        <w:t xml:space="preserve">)</w:t>
      </w:r>
      <w:r>
        <w:t xml:space="preserve"> auf Deutsch und Englisch sowie das komplett kommentierte, sofort in RStudio ausführbare </w:t>
      </w:r>
      <w:r>
        <w:rPr>
          <w:b/>
        </w:rPr>
        <w:t xml:space="preserve">Standalone-R-Skript (</w:t>
      </w:r>
      <w:r>
        <w:rPr>
          <w:rFonts w:ascii="Courier New" w:hAnsi="Courier New" w:cs="Courier New"/>
        </w:rPr>
        <w:t xml:space="preserve">reproduce-project-&lt;id&gt;.R</w:t>
      </w:r>
      <w:r>
        <w:rPr>
          <w:b/>
        </w:rPr>
        <w:t xml:space="preserve">)</w:t>
      </w:r>
      <w:r>
        <w:t xml:space="preserve"> mit eingebettetem Datensatz.</w:t>
      </w:r>
    </w:p>
    <w:p>
      <w:pPr>
        <w:pBdr>
          <w:bottom w:val="single" w:sz="6" w:space="1" w:color="B4B4B4"/>
        </w:pBdr>
      </w:pPr>
    </w:p>
    <w:p>
      <w:pPr>
        <w:pStyle w:val="Ueberschrift2"/>
      </w:pPr>
      <w:r>
        <w:t xml:space="preserve">Teil II — Technische Gesamtdokumentation (Architektur, Datenmodell, R-Bridge, API &amp; Betrieb)</w:t>
      </w:r>
    </w:p>
    <w:p>
      <w:pPr>
        <w:pStyle w:val="Ueberschrift3"/>
      </w:pPr>
      <w:r>
        <w:t xml:space="preserve">9. Systemarchitektur &amp; Schichtenmodell</w:t>
      </w:r>
    </w:p>
    <w:p>
      <w:r>
        <w:t xml:space="preserve">EvidenzWerk ist als monolithische, lokal wie in Container-Umgebungen (</w:t>
      </w:r>
      <w:r>
        <w:rPr>
          <w:rFonts w:ascii="Courier New" w:hAnsi="Courier New" w:cs="Courier New"/>
        </w:rPr>
        <w:t xml:space="preserve">Podman</w:t>
      </w:r>
      <w:r>
        <w:t xml:space="preserve"> / </w:t>
      </w:r>
      <w:r>
        <w:rPr>
          <w:rFonts w:ascii="Courier New" w:hAnsi="Courier New" w:cs="Courier New"/>
        </w:rPr>
        <w:t xml:space="preserve">Docker</w:t>
      </w:r>
      <w:r>
        <w:t xml:space="preserve">) autark lauffähige </w:t>
      </w:r>
      <w:r>
        <w:rPr>
          <w:b/>
        </w:rPr>
        <w:t xml:space="preserve">Next.js-16-Anwendung (App Router, TypeScript, React 19)</w:t>
      </w:r>
      <w:r>
        <w:t xml:space="preserve"> mit synchroner </w:t>
      </w:r>
      <w:r>
        <w:rPr>
          <w:b/>
        </w:rPr>
        <w:t xml:space="preserve">SQLite-Engine (</w:t>
      </w:r>
      <w:r>
        <w:rPr>
          <w:rFonts w:ascii="Courier New" w:hAnsi="Courier New" w:cs="Courier New"/>
        </w:rPr>
        <w:t xml:space="preserve">better-sqlite3</w:t>
      </w:r>
      <w:r>
        <w:rPr>
          <w:b/>
        </w:rPr>
        <w:t xml:space="preserve"> im WAL-Modus)</w:t>
      </w:r>
      <w:r>
        <w:t xml:space="preserve"> und einem isolierten </w:t>
      </w:r>
      <w:r>
        <w:rPr>
          <w:b/>
        </w:rPr>
        <w:t xml:space="preserve">R-Rechenkern (</w:t>
      </w:r>
      <w:r>
        <w:rPr>
          <w:rFonts w:ascii="Courier New" w:hAnsi="Courier New" w:cs="Courier New"/>
        </w:rPr>
        <w:t xml:space="preserve">metafor</w:t>
      </w:r>
      <w:r>
        <w:rPr>
          <w:b/>
        </w:rPr>
        <w:t xml:space="preserve"> + </w:t>
      </w:r>
      <w:r>
        <w:rPr>
          <w:rFonts w:ascii="Courier New" w:hAnsi="Courier New" w:cs="Courier New"/>
        </w:rPr>
        <w:t xml:space="preserve">clubSandwich</w:t>
      </w:r>
      <w:r>
        <w:rPr>
          <w:b/>
        </w:rPr>
        <w:t xml:space="preserve">)</w:t>
      </w:r>
      <w:r>
        <w:t xml:space="preserve"> konzipiert.</w:t>
      </w:r>
    </w:p>
    <w:p>
      <w:pPr>
        <w:pStyle w:val="Fest"/>
      </w:pPr>
      <w:r>
        <w:rPr>
          <w:rFonts w:ascii="Courier New" w:hAnsi="Courier New" w:cs="Courier New"/>
          <w:sz w:val="18"/>
          <w:szCs w:val="18"/>
        </w:rPr>
        <w:t xml:space="preserve">Schichtenmodell: [Browser-UI (Experten-Studio + Studi-Modus) &amp; OpenAPI 3.1 Agenten] -&gt; [Auth, Mandanten, Team-Verblindung &amp; Credit-Guard] -&gt; [Gemeinsamer Operationskern (ops.ts / repo.ts) + Ratifikation] -&gt; [Statistik-Kern (TS + R-Bridge metafor/clubSandwich) &amp; Dokument-Renderer (DOCX/PDF/SVG/ZIP)] -&gt; [SQLite WAL + Lokaler PDF-Store]</w:t>
      </w:r>
    </w:p>
    <w:p>
      <w:pPr>
        <w:pStyle w:val="Ueberschrift4"/>
      </w:pPr>
      <w:r>
        <w:t xml:space="preserve">Zentrale Architekturprinzipien</w:t>
      </w:r>
    </w:p>
    <w:p>
      <w:pPr>
        <w:numPr>
          <w:ilvl w:val="0"/>
          <w:numId w:val="2"/>
        </w:numPr>
      </w:pPr>
      <w:r>
        <w:rPr>
          <w:b/>
        </w:rPr>
        <w:t xml:space="preserve">Keine doppelte Geschäftslogik (100 % Parität zwischen UI und </w:t>
      </w:r>
      <w:r>
        <w:rPr>
          <w:rFonts w:ascii="Courier New" w:hAnsi="Courier New" w:cs="Courier New"/>
        </w:rPr>
        <w:t xml:space="preserve">v1</w:t>
      </w:r>
      <w:r>
        <w:rPr>
          <w:b/>
        </w:rPr>
        <w:t xml:space="preserve">-API):</w:t>
      </w:r>
    </w:p>
    <w:p>
      <w:r>
        <w:t xml:space="preserve">Sowohl die UI-Komponenten als auch die REST-Endpunkte unter </w:t>
      </w:r>
      <w:r>
        <w:rPr>
          <w:rFonts w:ascii="Courier New" w:hAnsi="Courier New" w:cs="Courier New"/>
        </w:rPr>
        <w:t xml:space="preserve">/api/v1/projects/[id]/*</w:t>
      </w:r>
      <w:r>
        <w:t xml:space="preserve"> rufen exakt dieselben Kernfunktionen in </w:t>
      </w:r>
      <w:r>
        <w:rPr>
          <w:rFonts w:ascii="Courier New" w:hAnsi="Courier New" w:cs="Courier New"/>
        </w:rPr>
        <w:t xml:space="preserve">lib/v1/ops.ts</w:t>
      </w:r>
      <w:r>
        <w:t xml:space="preserve"> und </w:t>
      </w:r>
      <w:r>
        <w:rPr>
          <w:rFonts w:ascii="Courier New" w:hAnsi="Courier New" w:cs="Courier New"/>
        </w:rPr>
        <w:t xml:space="preserve">lib/repo.ts</w:t>
      </w:r>
      <w:r>
        <w:t xml:space="preserve"> auf. Ein automatisierter Paritätstest (</w:t>
      </w:r>
      <w:r>
        <w:rPr>
          <w:rFonts w:ascii="Courier New" w:hAnsi="Courier New" w:cs="Courier New"/>
        </w:rPr>
        <w:t xml:space="preserve">test/paritaet.test.ts</w:t>
      </w:r>
      <w:r>
        <w:t xml:space="preserve">, </w:t>
      </w:r>
      <w:r>
        <w:rPr>
          <w:rFonts w:ascii="Courier New" w:hAnsi="Courier New" w:cs="Courier New"/>
        </w:rPr>
        <w:t xml:space="preserve">lib/api-paritaet.ts</w:t>
      </w:r>
      <w:r>
        <w:t xml:space="preserve">) prüft bei jedem Build, dass jede Schreib- und Leseoperation über die API erreichbar und in </w:t>
      </w:r>
      <w:r>
        <w:rPr>
          <w:rFonts w:ascii="Courier New" w:hAnsi="Courier New" w:cs="Courier New"/>
        </w:rPr>
        <w:t xml:space="preserve">lib/v1/openapi.ts</w:t>
      </w:r>
      <w:r>
        <w:t xml:space="preserve"> dokumentiert ist.</w:t>
      </w:r>
    </w:p>
    <w:p>
      <w:pPr>
        <w:numPr>
          <w:ilvl w:val="0"/>
          <w:numId w:val="2"/>
        </w:numPr>
      </w:pPr>
      <w:r>
        <w:rPr>
          <w:b/>
        </w:rPr>
        <w:t xml:space="preserve">„Keine zwei Zahlen unter einem Namen“ (</w:t>
      </w:r>
      <w:r>
        <w:rPr>
          <w:rFonts w:ascii="Courier New" w:hAnsi="Courier New" w:cs="Courier New"/>
        </w:rPr>
        <w:t xml:space="preserve">lib/laufwahl.ts</w:t>
      </w:r>
      <w:r>
        <w:rPr>
          <w:b/>
        </w:rPr>
        <w:t xml:space="preserve">, </w:t>
      </w:r>
      <w:r>
        <w:rPr>
          <w:rFonts w:ascii="Courier New" w:hAnsi="Courier New" w:cs="Courier New"/>
        </w:rPr>
        <w:t xml:space="preserve">lib/analyse.ts</w:t>
      </w:r>
      <w:r>
        <w:rPr>
          <w:b/>
        </w:rPr>
        <w:t xml:space="preserve">):</w:t>
      </w:r>
    </w:p>
    <w:p>
      <w:r>
        <w:t xml:space="preserve">Ein Projekt hat zu jedem Zeitpunkt genau eine kanonische Hauptzahl je Metrik/Endpunkt (vorrangig den vom Menschen freigegebenen 3-Ebenen-R-Lauf </w:t>
      </w:r>
      <w:r>
        <w:rPr>
          <w:rFonts w:ascii="Courier New" w:hAnsi="Courier New" w:cs="Courier New"/>
        </w:rPr>
        <w:t xml:space="preserve">released = 1</w:t>
      </w:r>
      <w:r>
        <w:t xml:space="preserve">, ansonsten den jüngsten Hauptlauf). Manuskript, Abstract, Anschreiben, Summary of Findings, Poster und Statistik-Anhang beziehen ihre Zahlen aus exakt derselben zentralen Funktion </w:t>
      </w:r>
      <w:r>
        <w:rPr>
          <w:rFonts w:ascii="Courier New" w:hAnsi="Courier New" w:cs="Courier New"/>
        </w:rPr>
        <w:t xml:space="preserve">analyseFuerProjekt</w:t>
      </w:r>
      <w:r>
        <w:t xml:space="preserve">.</w:t>
      </w:r>
    </w:p>
    <w:p>
      <w:pPr>
        <w:numPr>
          <w:ilvl w:val="0"/>
          <w:numId w:val="2"/>
        </w:numPr>
      </w:pPr>
      <w:r>
        <w:rPr>
          <w:b/>
        </w:rPr>
        <w:t xml:space="preserve">Null externe Office-/PDF-Abhängigkeiten:</w:t>
      </w:r>
    </w:p>
    <w:p>
      <w:r>
        <w:t xml:space="preserve">Word-Dokumente (</w:t>
      </w:r>
      <w:r>
        <w:rPr>
          <w:rFonts w:ascii="Courier New" w:hAnsi="Courier New" w:cs="Courier New"/>
        </w:rPr>
        <w:t xml:space="preserve">lib/docx.ts</w:t>
      </w:r>
      <w:r>
        <w:t xml:space="preserve">), PDF-Dateien inklusive TrueType-Tabellen-Parsing und Schrift-Einbettung (</w:t>
      </w:r>
      <w:r>
        <w:rPr>
          <w:rFonts w:ascii="Courier New" w:hAnsi="Courier New" w:cs="Courier New"/>
        </w:rPr>
        <w:t xml:space="preserve">lib/pdf.ts</w:t>
      </w:r>
      <w:r>
        <w:t xml:space="preserve">, </w:t>
      </w:r>
      <w:r>
        <w:rPr>
          <w:rFonts w:ascii="Courier New" w:hAnsi="Courier New" w:cs="Courier New"/>
        </w:rPr>
        <w:t xml:space="preserve">lib/ttf.ts</w:t>
      </w:r>
      <w:r>
        <w:t xml:space="preserve">, </w:t>
      </w:r>
      <w:r>
        <w:rPr>
          <w:rFonts w:ascii="Courier New" w:hAnsi="Courier New" w:cs="Courier New"/>
        </w:rPr>
        <w:t xml:space="preserve">lib/pdf-schrift.ts</w:t>
      </w:r>
      <w:r>
        <w:t xml:space="preserve">), SVG-Diagramme (</w:t>
      </w:r>
      <w:r>
        <w:rPr>
          <w:rFonts w:ascii="Courier New" w:hAnsi="Courier New" w:cs="Courier New"/>
        </w:rPr>
        <w:t xml:space="preserve">lib/abbildungen.ts</w:t>
      </w:r>
      <w:r>
        <w:t xml:space="preserve">) und ZIP-Archive (</w:t>
      </w:r>
      <w:r>
        <w:rPr>
          <w:rFonts w:ascii="Courier New" w:hAnsi="Courier New" w:cs="Courier New"/>
        </w:rPr>
        <w:t xml:space="preserve">lib/zip.ts</w:t>
      </w:r>
      <w:r>
        <w:t xml:space="preserve">) werden bytegenau im eigenen TypeScript-Code erzeugt — ohne Headless-Browser-Zwang und ohne fragile C++-Canvas-Abhängigkeiten.</w:t>
      </w:r>
    </w:p>
    <w:p>
      <w:pPr>
        <w:pBdr>
          <w:bottom w:val="single" w:sz="6" w:space="1" w:color="B4B4B4"/>
        </w:pBdr>
      </w:pPr>
    </w:p>
    <w:p>
      <w:pPr>
        <w:pStyle w:val="Ueberschrift3"/>
      </w:pPr>
      <w:r>
        <w:t xml:space="preserve">10. Datenbank-Schema (</w:t>
      </w:r>
      <w:r>
        <w:rPr>
          <w:rFonts w:ascii="Courier New" w:hAnsi="Courier New" w:cs="Courier New"/>
        </w:rPr>
        <w:t xml:space="preserve">SQLite</w:t>
      </w:r>
      <w:r>
        <w:t xml:space="preserve"> mit WAL &amp; Foreign Keys)</w:t>
      </w:r>
    </w:p>
    <w:p>
      <w:r>
        <w:t xml:space="preserve">Die Datenbank wird in </w:t>
      </w:r>
      <w:r>
        <w:rPr>
          <w:rFonts w:ascii="Courier New" w:hAnsi="Courier New" w:cs="Courier New"/>
        </w:rPr>
        <w:t xml:space="preserve">lib/db.ts</w:t>
      </w:r>
      <w:r>
        <w:t xml:space="preserve"> initialisiert (</w:t>
      </w:r>
      <w:r>
        <w:rPr>
          <w:rFonts w:ascii="Courier New" w:hAnsi="Courier New" w:cs="Courier New"/>
        </w:rPr>
        <w:t xml:space="preserve">pragma journal_mode = WAL</w:t>
      </w:r>
      <w:r>
        <w:t xml:space="preserve">, </w:t>
      </w:r>
      <w:r>
        <w:rPr>
          <w:rFonts w:ascii="Courier New" w:hAnsi="Courier New" w:cs="Courier New"/>
        </w:rPr>
        <w:t xml:space="preserve">pragma foreign_keys = ON</w:t>
      </w:r>
      <w:r>
        <w:t xml:space="preserve">, </w:t>
      </w:r>
      <w:r>
        <w:rPr>
          <w:rFonts w:ascii="Courier New" w:hAnsi="Courier New" w:cs="Courier New"/>
        </w:rPr>
        <w:t xml:space="preserve">busy_timeout = 5000</w:t>
      </w:r>
      <w:r>
        <w:t xml:space="preserve">) und umfasst </w:t>
      </w:r>
      <w:r>
        <w:rPr>
          <w:b/>
        </w:rPr>
        <w:t xml:space="preserve">24 relationale Tabellen</w:t>
      </w:r>
      <w:r>
        <w:t xml:space="preserve"> mit idempotenten Schema-Migrationen:</w:t>
      </w:r>
    </w:p>
    <w:tbl>
      <w:tblPr>
        <w:tblW w:w="9070" w:type="dxa"/>
        <w:tblLayout w:type="fixed"/>
        <w:tblBorders>
          <w:top w:val="single" w:sz="4" w:space="0" w:color="B4B4B4"/>
          <w:left w:val="single" w:sz="4" w:space="0" w:color="B4B4B4"/>
          <w:bottom w:val="single" w:sz="4" w:space="0" w:color="B4B4B4"/>
          <w:right w:val="single" w:sz="4" w:space="0" w:color="B4B4B4"/>
          <w:insideH w:val="single" w:sz="4" w:space="0" w:color="B4B4B4"/>
          <w:insideV w:val="single" w:sz="4" w:space="0" w:color="B4B4B4"/>
        </w:tblBorders>
      </w:tblPr>
      <w:tblGrid>
        <w:gridCol w:w="3023"/>
        <w:gridCol w:w="3023"/>
        <w:gridCol w:w="3024"/>
      </w:tblGrid>
      <w:tr>
        <w:trPr>
          <w:tblHeader/>
          <w:cantSplit/>
        </w:trPr>
        <w:tc>
          <w:tcPr>
            <w:tcW w:w="3023"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Domäne</w:t>
            </w:r>
          </w:p>
        </w:tc>
        <w:tc>
          <w:tcPr>
            <w:tcW w:w="3023"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Tabellen in </w:t>
            </w:r>
            <w:r>
              <w:rPr>
                <w:b/>
                <w:rFonts w:ascii="Courier New" w:hAnsi="Courier New" w:cs="Courier New"/>
                <w:sz w:val="18"/>
                <w:szCs w:val="18"/>
              </w:rPr>
              <w:t xml:space="preserve">lib/db.ts</w:t>
            </w:r>
          </w:p>
        </w:tc>
        <w:tc>
          <w:tcPr>
            <w:tcW w:w="3024"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Beschreibung &amp; Schlüsselspalten</w:t>
            </w:r>
          </w:p>
        </w:tc>
      </w:tr>
      <w:tr>
        <w:trPr>
          <w:cantSplit/>
        </w:trPr>
        <w:tc>
          <w:tcPr>
            <w:tcW w:w="3023" w:type="dxa"/>
            <w:tcMar>
              <w:top w:w="60" w:type="dxa"/>
              <w:left w:w="80" w:type="dxa"/>
              <w:bottom w:w="60" w:type="dxa"/>
              <w:right w:w="80" w:type="dxa"/>
            </w:tcMar>
          </w:tcPr>
          <w:p>
            <w:pPr>
              <w:suppressLineNumbers/>
              <w:spacing w:before="20" w:after="20" w:line="240" w:lineRule="auto"/>
            </w:pPr>
            <w:r>
              <w:rPr>
                <w:b/>
                <w:sz w:val="18"/>
                <w:szCs w:val="18"/>
              </w:rPr>
              <w:t xml:space="preserve">Nutzer, Auth &amp; Team</w:t>
            </w:r>
          </w:p>
        </w:tc>
        <w:tc>
          <w:tcPr>
            <w:tcW w:w="3023"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users</w:t>
            </w:r>
            <w:r>
              <w:rPr>
                <w:sz w:val="18"/>
                <w:szCs w:val="18"/>
              </w:rPr>
              <w:t xml:space="preserve">, </w:t>
            </w:r>
            <w:r>
              <w:rPr>
                <w:rFonts w:ascii="Courier New" w:hAnsi="Courier New" w:cs="Courier New"/>
                <w:sz w:val="18"/>
                <w:szCs w:val="18"/>
              </w:rPr>
              <w:t xml:space="preserve">sessions</w:t>
            </w:r>
            <w:r>
              <w:rPr>
                <w:sz w:val="18"/>
                <w:szCs w:val="18"/>
              </w:rPr>
              <w:t xml:space="preserve">, </w:t>
            </w:r>
            <w:r>
              <w:rPr>
                <w:rFonts w:ascii="Courier New" w:hAnsi="Courier New" w:cs="Courier New"/>
                <w:sz w:val="18"/>
                <w:szCs w:val="18"/>
              </w:rPr>
              <w:t xml:space="preserve">api_tokens</w:t>
            </w:r>
            <w:r>
              <w:rPr>
                <w:sz w:val="18"/>
                <w:szCs w:val="18"/>
              </w:rPr>
              <w:t xml:space="preserve">, </w:t>
            </w:r>
            <w:r>
              <w:rPr>
                <w:rFonts w:ascii="Courier New" w:hAnsi="Courier New" w:cs="Courier New"/>
                <w:sz w:val="18"/>
                <w:szCs w:val="18"/>
              </w:rPr>
              <w:t xml:space="preserve">project_members</w:t>
            </w:r>
          </w:p>
        </w:tc>
        <w:tc>
          <w:tcPr>
            <w:tcW w:w="3024"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users</w:t>
            </w:r>
            <w:r>
              <w:rPr>
                <w:sz w:val="18"/>
                <w:szCs w:val="18"/>
              </w:rPr>
              <w:t xml:space="preserve">: Passwort-Hash (</w:t>
            </w:r>
            <w:r>
              <w:rPr>
                <w:rFonts w:ascii="Courier New" w:hAnsi="Courier New" w:cs="Courier New"/>
                <w:sz w:val="18"/>
                <w:szCs w:val="18"/>
              </w:rPr>
              <w:t xml:space="preserve">scrypt</w:t>
            </w:r>
            <w:r>
              <w:rPr>
                <w:sz w:val="18"/>
                <w:szCs w:val="18"/>
              </w:rPr>
              <w:t xml:space="preserve">), Rolle (</w:t>
            </w:r>
            <w:r>
              <w:rPr>
                <w:rFonts w:ascii="Courier New" w:hAnsi="Courier New" w:cs="Courier New"/>
                <w:sz w:val="18"/>
                <w:szCs w:val="18"/>
              </w:rPr>
              <w:t xml:space="preserve">admin</w:t>
            </w:r>
            <w:r>
              <w:rPr>
                <w:sz w:val="18"/>
                <w:szCs w:val="18"/>
              </w:rPr>
              <w:t xml:space="preserve">/</w:t>
            </w:r>
            <w:r>
              <w:rPr>
                <w:rFonts w:ascii="Courier New" w:hAnsi="Courier New" w:cs="Courier New"/>
                <w:sz w:val="18"/>
                <w:szCs w:val="18"/>
              </w:rPr>
              <w:t xml:space="preserve">reviewer</w:t>
            </w:r>
            <w:r>
              <w:rPr>
                <w:sz w:val="18"/>
                <w:szCs w:val="18"/>
              </w:rPr>
              <w:t xml:space="preserve">), </w:t>
            </w:r>
            <w:r>
              <w:rPr>
                <w:rFonts w:ascii="Courier New" w:hAnsi="Courier New" w:cs="Courier New"/>
                <w:sz w:val="18"/>
                <w:szCs w:val="18"/>
              </w:rPr>
              <w:t xml:space="preserve">status</w:t>
            </w:r>
            <w:r>
              <w:rPr>
                <w:sz w:val="18"/>
                <w:szCs w:val="18"/>
              </w:rPr>
              <w:t xml:space="preserve">, </w:t>
            </w:r>
            <w:r>
              <w:rPr>
                <w:rFonts w:ascii="Courier New" w:hAnsi="Courier New" w:cs="Courier New"/>
                <w:sz w:val="18"/>
                <w:szCs w:val="18"/>
              </w:rPr>
              <w:t xml:space="preserve">credit_balance</w:t>
            </w:r>
            <w:r>
              <w:rPr>
                <w:sz w:val="18"/>
                <w:szCs w:val="18"/>
              </w:rPr>
              <w:t xml:space="preserve">.&lt;br/&gt;</w:t>
            </w:r>
            <w:r>
              <w:rPr>
                <w:rFonts w:ascii="Courier New" w:hAnsi="Courier New" w:cs="Courier New"/>
                <w:sz w:val="18"/>
                <w:szCs w:val="18"/>
              </w:rPr>
              <w:t xml:space="preserve">sessions</w:t>
            </w:r>
            <w:r>
              <w:rPr>
                <w:sz w:val="18"/>
                <w:szCs w:val="18"/>
              </w:rPr>
              <w:t xml:space="preserve"> &amp; </w:t>
            </w:r>
            <w:r>
              <w:rPr>
                <w:rFonts w:ascii="Courier New" w:hAnsi="Courier New" w:cs="Courier New"/>
                <w:sz w:val="18"/>
                <w:szCs w:val="18"/>
              </w:rPr>
              <w:t xml:space="preserve">api_tokens</w:t>
            </w:r>
            <w:r>
              <w:rPr>
                <w:sz w:val="18"/>
                <w:szCs w:val="18"/>
              </w:rPr>
              <w:t xml:space="preserve">: Speichern </w:t>
            </w:r>
            <w:r>
              <w:rPr>
                <w:b/>
                <w:sz w:val="18"/>
                <w:szCs w:val="18"/>
              </w:rPr>
              <w:t xml:space="preserve">ausschließlich SHA-256-Hashes</w:t>
            </w:r>
            <w:r>
              <w:rPr>
                <w:sz w:val="18"/>
                <w:szCs w:val="18"/>
              </w:rPr>
              <w:t xml:space="preserve"> der Session-Cookies (</w:t>
            </w:r>
            <w:r>
              <w:rPr>
                <w:rFonts w:ascii="Courier New" w:hAnsi="Courier New" w:cs="Courier New"/>
                <w:sz w:val="18"/>
                <w:szCs w:val="18"/>
              </w:rPr>
              <w:t xml:space="preserve">evw_session</w:t>
            </w:r>
            <w:r>
              <w:rPr>
                <w:sz w:val="18"/>
                <w:szCs w:val="18"/>
              </w:rPr>
              <w:t xml:space="preserve">) bzw. API-Tokens (</w:t>
            </w:r>
            <w:r>
              <w:rPr>
                <w:rFonts w:ascii="Courier New" w:hAnsi="Courier New" w:cs="Courier New"/>
                <w:sz w:val="18"/>
                <w:szCs w:val="18"/>
              </w:rPr>
              <w:t xml:space="preserve">evw_...</w:t>
            </w:r>
            <w:r>
              <w:rPr>
                <w:sz w:val="18"/>
                <w:szCs w:val="18"/>
              </w:rPr>
              <w:t xml:space="preserve">).&lt;br/&gt;</w:t>
            </w:r>
            <w:r>
              <w:rPr>
                <w:rFonts w:ascii="Courier New" w:hAnsi="Courier New" w:cs="Courier New"/>
                <w:sz w:val="18"/>
                <w:szCs w:val="18"/>
              </w:rPr>
              <w:t xml:space="preserve">project_members</w:t>
            </w:r>
            <w:r>
              <w:rPr>
                <w:sz w:val="18"/>
                <w:szCs w:val="18"/>
              </w:rPr>
              <w:t xml:space="preserve">: Verknüpft </w:t>
            </w:r>
            <w:r>
              <w:rPr>
                <w:rFonts w:ascii="Courier New" w:hAnsi="Courier New" w:cs="Courier New"/>
                <w:sz w:val="18"/>
                <w:szCs w:val="18"/>
              </w:rPr>
              <w:t xml:space="preserve">(project_id, user_id)</w:t>
            </w:r>
            <w:r>
              <w:rPr>
                <w:sz w:val="18"/>
                <w:szCs w:val="18"/>
              </w:rPr>
              <w:t xml:space="preserve"> mit </w:t>
            </w:r>
            <w:r>
              <w:rPr>
                <w:rFonts w:ascii="Courier New" w:hAnsi="Courier New" w:cs="Courier New"/>
                <w:sz w:val="18"/>
                <w:szCs w:val="18"/>
              </w:rPr>
              <w:t xml:space="preserve">role IN ('A', 'B', 'coauthor')</w:t>
            </w:r>
            <w:r>
              <w:rPr>
                <w:sz w:val="18"/>
                <w:szCs w:val="18"/>
              </w:rPr>
              <w:t xml:space="preserve"> für echte Mehrbenutzer-Verblindung.</w:t>
            </w:r>
          </w:p>
        </w:tc>
      </w:tr>
      <w:tr>
        <w:trPr>
          <w:cantSplit/>
        </w:trPr>
        <w:tc>
          <w:tcPr>
            <w:tcW w:w="3023" w:type="dxa"/>
            <w:tcMar>
              <w:top w:w="60" w:type="dxa"/>
              <w:left w:w="80" w:type="dxa"/>
              <w:bottom w:w="60" w:type="dxa"/>
              <w:right w:w="80" w:type="dxa"/>
            </w:tcMar>
          </w:tcPr>
          <w:p>
            <w:pPr>
              <w:suppressLineNumbers/>
              <w:spacing w:before="20" w:after="20" w:line="240" w:lineRule="auto"/>
            </w:pPr>
            <w:r>
              <w:rPr>
                <w:b/>
                <w:sz w:val="18"/>
                <w:szCs w:val="18"/>
              </w:rPr>
              <w:t xml:space="preserve">Credits &amp; Lizenzen</w:t>
            </w:r>
          </w:p>
        </w:tc>
        <w:tc>
          <w:tcPr>
            <w:tcW w:w="3023"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credit_ledger</w:t>
            </w:r>
            <w:r>
              <w:rPr>
                <w:sz w:val="18"/>
                <w:szCs w:val="18"/>
              </w:rPr>
              <w:t xml:space="preserve">, </w:t>
            </w:r>
            <w:r>
              <w:rPr>
                <w:rFonts w:ascii="Courier New" w:hAnsi="Courier New" w:cs="Courier New"/>
                <w:sz w:val="18"/>
                <w:szCs w:val="18"/>
              </w:rPr>
              <w:t xml:space="preserve">license_activations</w:t>
            </w:r>
          </w:p>
        </w:tc>
        <w:tc>
          <w:tcPr>
            <w:tcW w:w="3024"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credit_ledger</w:t>
            </w:r>
            <w:r>
              <w:rPr>
                <w:sz w:val="18"/>
                <w:szCs w:val="18"/>
              </w:rPr>
              <w:t xml:space="preserve">: Unveränderliches Buchungsjournal (</w:t>
            </w:r>
            <w:r>
              <w:rPr>
                <w:rFonts w:ascii="Courier New" w:hAnsi="Courier New" w:cs="Courier New"/>
                <w:sz w:val="18"/>
                <w:szCs w:val="18"/>
              </w:rPr>
              <w:t xml:space="preserve">delta</w:t>
            </w:r>
            <w:r>
              <w:rPr>
                <w:sz w:val="18"/>
                <w:szCs w:val="18"/>
              </w:rPr>
              <w:t xml:space="preserve">, </w:t>
            </w:r>
            <w:r>
              <w:rPr>
                <w:rFonts w:ascii="Courier New" w:hAnsi="Courier New" w:cs="Courier New"/>
                <w:sz w:val="18"/>
                <w:szCs w:val="18"/>
              </w:rPr>
              <w:t xml:space="preserve">balance_after</w:t>
            </w:r>
            <w:r>
              <w:rPr>
                <w:sz w:val="18"/>
                <w:szCs w:val="18"/>
              </w:rPr>
              <w:t xml:space="preserve">, </w:t>
            </w:r>
            <w:r>
              <w:rPr>
                <w:rFonts w:ascii="Courier New" w:hAnsi="Courier New" w:cs="Courier New"/>
                <w:sz w:val="18"/>
                <w:szCs w:val="18"/>
              </w:rPr>
              <w:t xml:space="preserve">reason</w:t>
            </w:r>
            <w:r>
              <w:rPr>
                <w:sz w:val="18"/>
                <w:szCs w:val="18"/>
              </w:rPr>
              <w:t xml:space="preserve">, </w:t>
            </w:r>
            <w:r>
              <w:rPr>
                <w:rFonts w:ascii="Courier New" w:hAnsi="Courier New" w:cs="Courier New"/>
                <w:sz w:val="18"/>
                <w:szCs w:val="18"/>
              </w:rPr>
              <w:t xml:space="preserve">project_id</w:t>
            </w:r>
            <w:r>
              <w:rPr>
                <w:sz w:val="18"/>
                <w:szCs w:val="18"/>
              </w:rPr>
              <w:t xml:space="preserve">, </w:t>
            </w:r>
            <w:r>
              <w:rPr>
                <w:rFonts w:ascii="Courier New" w:hAnsi="Courier New" w:cs="Courier New"/>
                <w:sz w:val="18"/>
                <w:szCs w:val="18"/>
              </w:rPr>
              <w:t xml:space="preserve">study_id</w:t>
            </w:r>
            <w:r>
              <w:rPr>
                <w:sz w:val="18"/>
                <w:szCs w:val="18"/>
              </w:rPr>
              <w:t xml:space="preserve">) für KI-Operationen.&lt;br/&gt;</w:t>
            </w:r>
            <w:r>
              <w:rPr>
                <w:rFonts w:ascii="Courier New" w:hAnsi="Courier New" w:cs="Courier New"/>
                <w:sz w:val="18"/>
                <w:szCs w:val="18"/>
              </w:rPr>
              <w:t xml:space="preserve">license_activations</w:t>
            </w:r>
            <w:r>
              <w:rPr>
                <w:sz w:val="18"/>
                <w:szCs w:val="18"/>
              </w:rPr>
              <w:t xml:space="preserve">: Eingelöste Lizenzschlüssel des Brain-HR-Lizenzservers (</w:t>
            </w:r>
            <w:r>
              <w:rPr>
                <w:rFonts w:ascii="Courier New" w:hAnsi="Courier New" w:cs="Courier New"/>
                <w:sz w:val="18"/>
                <w:szCs w:val="18"/>
              </w:rPr>
              <w:t xml:space="preserve">key_hash</w:t>
            </w:r>
            <w:r>
              <w:rPr>
                <w:sz w:val="18"/>
                <w:szCs w:val="18"/>
              </w:rPr>
              <w:t xml:space="preserve">, </w:t>
            </w:r>
            <w:r>
              <w:rPr>
                <w:rFonts w:ascii="Courier New" w:hAnsi="Courier New" w:cs="Courier New"/>
                <w:sz w:val="18"/>
                <w:szCs w:val="18"/>
              </w:rPr>
              <w:t xml:space="preserve">credits_granted</w:t>
            </w:r>
            <w:r>
              <w:rPr>
                <w:sz w:val="18"/>
                <w:szCs w:val="18"/>
              </w:rPr>
              <w:t xml:space="preserve">, </w:t>
            </w:r>
            <w:r>
              <w:rPr>
                <w:rFonts w:ascii="Courier New" w:hAnsi="Courier New" w:cs="Courier New"/>
                <w:sz w:val="18"/>
                <w:szCs w:val="18"/>
              </w:rPr>
              <w:t xml:space="preserve">raw_response</w:t>
            </w:r>
            <w:r>
              <w:rPr>
                <w:sz w:val="18"/>
                <w:szCs w:val="18"/>
              </w:rPr>
              <w:t xml:space="preserve">).</w:t>
            </w:r>
          </w:p>
        </w:tc>
      </w:tr>
      <w:tr>
        <w:trPr>
          <w:cantSplit/>
        </w:trPr>
        <w:tc>
          <w:tcPr>
            <w:tcW w:w="3023" w:type="dxa"/>
            <w:tcMar>
              <w:top w:w="60" w:type="dxa"/>
              <w:left w:w="80" w:type="dxa"/>
              <w:bottom w:w="60" w:type="dxa"/>
              <w:right w:w="80" w:type="dxa"/>
            </w:tcMar>
          </w:tcPr>
          <w:p>
            <w:pPr>
              <w:suppressLineNumbers/>
              <w:spacing w:before="20" w:after="20" w:line="240" w:lineRule="auto"/>
            </w:pPr>
            <w:r>
              <w:rPr>
                <w:b/>
                <w:sz w:val="18"/>
                <w:szCs w:val="18"/>
              </w:rPr>
              <w:t xml:space="preserve">Projekte &amp; Recherche</w:t>
            </w:r>
          </w:p>
        </w:tc>
        <w:tc>
          <w:tcPr>
            <w:tcW w:w="3023"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projects</w:t>
            </w:r>
            <w:r>
              <w:rPr>
                <w:sz w:val="18"/>
                <w:szCs w:val="18"/>
              </w:rPr>
              <w:t xml:space="preserve">, </w:t>
            </w:r>
            <w:r>
              <w:rPr>
                <w:rFonts w:ascii="Courier New" w:hAnsi="Courier New" w:cs="Courier New"/>
                <w:sz w:val="18"/>
                <w:szCs w:val="18"/>
              </w:rPr>
              <w:t xml:space="preserve">search_runs</w:t>
            </w:r>
            <w:r>
              <w:rPr>
                <w:sz w:val="18"/>
                <w:szCs w:val="18"/>
              </w:rPr>
              <w:t xml:space="preserve">, </w:t>
            </w:r>
            <w:r>
              <w:rPr>
                <w:rFonts w:ascii="Courier New" w:hAnsi="Courier New" w:cs="Courier New"/>
                <w:sz w:val="18"/>
                <w:szCs w:val="18"/>
              </w:rPr>
              <w:t xml:space="preserve">living_runs</w:t>
            </w:r>
            <w:r>
              <w:rPr>
                <w:sz w:val="18"/>
                <w:szCs w:val="18"/>
              </w:rPr>
              <w:t xml:space="preserve">, </w:t>
            </w:r>
            <w:r>
              <w:rPr>
                <w:rFonts w:ascii="Courier New" w:hAnsi="Courier New" w:cs="Courier New"/>
                <w:sz w:val="18"/>
                <w:szCs w:val="18"/>
              </w:rPr>
              <w:t xml:space="preserve">living_candidates</w:t>
            </w:r>
          </w:p>
        </w:tc>
        <w:tc>
          <w:tcPr>
            <w:tcW w:w="3024"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projects</w:t>
            </w:r>
            <w:r>
              <w:rPr>
                <w:sz w:val="18"/>
                <w:szCs w:val="18"/>
              </w:rPr>
              <w:t xml:space="preserve">: </w:t>
            </w:r>
            <w:r>
              <w:rPr>
                <w:rFonts w:ascii="Courier New" w:hAnsi="Courier New" w:cs="Courier New"/>
                <w:sz w:val="18"/>
                <w:szCs w:val="18"/>
              </w:rPr>
              <w:t xml:space="preserve">name</w:t>
            </w:r>
            <w:r>
              <w:rPr>
                <w:sz w:val="18"/>
                <w:szCs w:val="18"/>
              </w:rPr>
              <w:t xml:space="preserve">, </w:t>
            </w:r>
            <w:r>
              <w:rPr>
                <w:rFonts w:ascii="Courier New" w:hAnsi="Courier New" w:cs="Courier New"/>
                <w:sz w:val="18"/>
                <w:szCs w:val="18"/>
              </w:rPr>
              <w:t xml:space="preserve">question</w:t>
            </w:r>
            <w:r>
              <w:rPr>
                <w:sz w:val="18"/>
                <w:szCs w:val="18"/>
              </w:rPr>
              <w:t xml:space="preserve">, </w:t>
            </w:r>
            <w:r>
              <w:rPr>
                <w:rFonts w:ascii="Courier New" w:hAnsi="Courier New" w:cs="Courier New"/>
                <w:sz w:val="18"/>
                <w:szCs w:val="18"/>
              </w:rPr>
              <w:t xml:space="preserve">picos_json</w:t>
            </w:r>
            <w:r>
              <w:rPr>
                <w:sz w:val="18"/>
                <w:szCs w:val="18"/>
              </w:rPr>
              <w:t xml:space="preserve">, </w:t>
            </w:r>
            <w:r>
              <w:rPr>
                <w:rFonts w:ascii="Courier New" w:hAnsi="Courier New" w:cs="Courier New"/>
                <w:sz w:val="18"/>
                <w:szCs w:val="18"/>
              </w:rPr>
              <w:t xml:space="preserve">phase</w:t>
            </w:r>
            <w:r>
              <w:rPr>
                <w:sz w:val="18"/>
                <w:szCs w:val="18"/>
              </w:rPr>
              <w:t xml:space="preserve">, </w:t>
            </w:r>
            <w:r>
              <w:rPr>
                <w:rFonts w:ascii="Courier New" w:hAnsi="Courier New" w:cs="Courier New"/>
                <w:sz w:val="18"/>
                <w:szCs w:val="18"/>
              </w:rPr>
              <w:t xml:space="preserve">double_screening</w:t>
            </w:r>
            <w:r>
              <w:rPr>
                <w:sz w:val="18"/>
                <w:szCs w:val="18"/>
              </w:rPr>
              <w:t xml:space="preserve">, </w:t>
            </w:r>
            <w:r>
              <w:rPr>
                <w:rFonts w:ascii="Courier New" w:hAnsi="Courier New" w:cs="Courier New"/>
                <w:sz w:val="18"/>
                <w:szCs w:val="18"/>
              </w:rPr>
              <w:t xml:space="preserve">owner_user_id</w:t>
            </w:r>
            <w:r>
              <w:rPr>
                <w:sz w:val="18"/>
                <w:szCs w:val="18"/>
              </w:rPr>
              <w:t xml:space="preserve">, </w:t>
            </w:r>
            <w:r>
              <w:rPr>
                <w:rFonts w:ascii="Courier New" w:hAnsi="Courier New" w:cs="Courier New"/>
                <w:sz w:val="18"/>
                <w:szCs w:val="18"/>
              </w:rPr>
              <w:t xml:space="preserve">robins_confounders</w:t>
            </w:r>
            <w:r>
              <w:rPr>
                <w:sz w:val="18"/>
                <w:szCs w:val="18"/>
              </w:rPr>
              <w:t xml:space="preserve">, </w:t>
            </w:r>
            <w:r>
              <w:rPr>
                <w:rFonts w:ascii="Courier New" w:hAnsi="Courier New" w:cs="Courier New"/>
                <w:sz w:val="18"/>
                <w:szCs w:val="18"/>
              </w:rPr>
              <w:t xml:space="preserve">submission_json</w:t>
            </w:r>
            <w:r>
              <w:rPr>
                <w:sz w:val="18"/>
                <w:szCs w:val="18"/>
              </w:rPr>
              <w:t xml:space="preserve">.&lt;br/&gt;</w:t>
            </w:r>
            <w:r>
              <w:rPr>
                <w:rFonts w:ascii="Courier New" w:hAnsi="Courier New" w:cs="Courier New"/>
                <w:sz w:val="18"/>
                <w:szCs w:val="18"/>
              </w:rPr>
              <w:t xml:space="preserve">search_runs</w:t>
            </w:r>
            <w:r>
              <w:rPr>
                <w:sz w:val="18"/>
                <w:szCs w:val="18"/>
              </w:rPr>
              <w:t xml:space="preserve">: Reproduzierbare PRISMA-S-Suchläufe (</w:t>
            </w:r>
            <w:r>
              <w:rPr>
                <w:rFonts w:ascii="Courier New" w:hAnsi="Courier New" w:cs="Courier New"/>
                <w:sz w:val="18"/>
                <w:szCs w:val="18"/>
              </w:rPr>
              <w:t xml:space="preserve">database</w:t>
            </w:r>
            <w:r>
              <w:rPr>
                <w:sz w:val="18"/>
                <w:szCs w:val="18"/>
              </w:rPr>
              <w:t xml:space="preserve">, </w:t>
            </w:r>
            <w:r>
              <w:rPr>
                <w:rFonts w:ascii="Courier New" w:hAnsi="Courier New" w:cs="Courier New"/>
                <w:sz w:val="18"/>
                <w:szCs w:val="18"/>
              </w:rPr>
              <w:t xml:space="preserve">query</w:t>
            </w:r>
            <w:r>
              <w:rPr>
                <w:sz w:val="18"/>
                <w:szCs w:val="18"/>
              </w:rPr>
              <w:t xml:space="preserve">, </w:t>
            </w:r>
            <w:r>
              <w:rPr>
                <w:rFonts w:ascii="Courier New" w:hAnsi="Courier New" w:cs="Courier New"/>
                <w:sz w:val="18"/>
                <w:szCs w:val="18"/>
              </w:rPr>
              <w:t xml:space="preserve">hits</w:t>
            </w:r>
            <w:r>
              <w:rPr>
                <w:sz w:val="18"/>
                <w:szCs w:val="18"/>
              </w:rPr>
              <w:t xml:space="preserve">, </w:t>
            </w:r>
            <w:r>
              <w:rPr>
                <w:rFonts w:ascii="Courier New" w:hAnsi="Courier New" w:cs="Courier New"/>
                <w:sz w:val="18"/>
                <w:szCs w:val="18"/>
              </w:rPr>
              <w:t xml:space="preserve">protocol_json</w:t>
            </w:r>
            <w:r>
              <w:rPr>
                <w:sz w:val="18"/>
                <w:szCs w:val="18"/>
              </w:rPr>
              <w:t xml:space="preserve">).&lt;br/&gt;</w:t>
            </w:r>
            <w:r>
              <w:rPr>
                <w:rFonts w:ascii="Courier New" w:hAnsi="Courier New" w:cs="Courier New"/>
                <w:sz w:val="18"/>
                <w:szCs w:val="18"/>
              </w:rPr>
              <w:t xml:space="preserve">living_runs</w:t>
            </w:r>
            <w:r>
              <w:rPr>
                <w:sz w:val="18"/>
                <w:szCs w:val="18"/>
              </w:rPr>
              <w:t xml:space="preserve"> &amp; </w:t>
            </w:r>
            <w:r>
              <w:rPr>
                <w:rFonts w:ascii="Courier New" w:hAnsi="Courier New" w:cs="Courier New"/>
                <w:sz w:val="18"/>
                <w:szCs w:val="18"/>
              </w:rPr>
              <w:t xml:space="preserve">living_candidates</w:t>
            </w:r>
            <w:r>
              <w:rPr>
                <w:sz w:val="18"/>
                <w:szCs w:val="18"/>
              </w:rPr>
              <w:t xml:space="preserve">: Automatische Living-Review-Updates mit Kandidaten-Triage.</w:t>
            </w:r>
          </w:p>
        </w:tc>
      </w:tr>
      <w:tr>
        <w:trPr>
          <w:cantSplit/>
        </w:trPr>
        <w:tc>
          <w:tcPr>
            <w:tcW w:w="3023" w:type="dxa"/>
            <w:tcMar>
              <w:top w:w="60" w:type="dxa"/>
              <w:left w:w="80" w:type="dxa"/>
              <w:bottom w:w="60" w:type="dxa"/>
              <w:right w:w="80" w:type="dxa"/>
            </w:tcMar>
          </w:tcPr>
          <w:p>
            <w:pPr>
              <w:suppressLineNumbers/>
              <w:spacing w:before="20" w:after="20" w:line="240" w:lineRule="auto"/>
            </w:pPr>
            <w:r>
              <w:rPr>
                <w:b/>
                <w:sz w:val="18"/>
                <w:szCs w:val="18"/>
              </w:rPr>
              <w:t xml:space="preserve">Studien, Screening &amp; Extraktion</w:t>
            </w:r>
          </w:p>
        </w:tc>
        <w:tc>
          <w:tcPr>
            <w:tcW w:w="3023"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studies</w:t>
            </w:r>
            <w:r>
              <w:rPr>
                <w:sz w:val="18"/>
                <w:szCs w:val="18"/>
              </w:rPr>
              <w:t xml:space="preserve">, </w:t>
            </w:r>
            <w:r>
              <w:rPr>
                <w:rFonts w:ascii="Courier New" w:hAnsi="Courier New" w:cs="Courier New"/>
                <w:sz w:val="18"/>
                <w:szCs w:val="18"/>
              </w:rPr>
              <w:t xml:space="preserve">decisions</w:t>
            </w:r>
            <w:r>
              <w:rPr>
                <w:sz w:val="18"/>
                <w:szCs w:val="18"/>
              </w:rPr>
              <w:t xml:space="preserve">, </w:t>
            </w:r>
            <w:r>
              <w:rPr>
                <w:rFonts w:ascii="Courier New" w:hAnsi="Courier New" w:cs="Courier New"/>
                <w:sz w:val="18"/>
                <w:szCs w:val="18"/>
              </w:rPr>
              <w:t xml:space="preserve">extractions</w:t>
            </w:r>
            <w:r>
              <w:rPr>
                <w:sz w:val="18"/>
                <w:szCs w:val="18"/>
              </w:rPr>
              <w:t xml:space="preserve">, </w:t>
            </w:r>
            <w:r>
              <w:rPr>
                <w:rFonts w:ascii="Courier New" w:hAnsi="Courier New" w:cs="Courier New"/>
                <w:sz w:val="18"/>
                <w:szCs w:val="18"/>
              </w:rPr>
              <w:t xml:space="preserve">study_codings</w:t>
            </w:r>
            <w:r>
              <w:rPr>
                <w:sz w:val="18"/>
                <w:szCs w:val="18"/>
              </w:rPr>
              <w:t xml:space="preserve">, </w:t>
            </w:r>
            <w:r>
              <w:rPr>
                <w:rFonts w:ascii="Courier New" w:hAnsi="Courier New" w:cs="Courier New"/>
                <w:sz w:val="18"/>
                <w:szCs w:val="18"/>
              </w:rPr>
              <w:t xml:space="preserve">author_queries</w:t>
            </w:r>
          </w:p>
        </w:tc>
        <w:tc>
          <w:tcPr>
            <w:tcW w:w="3024"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studies</w:t>
            </w:r>
            <w:r>
              <w:rPr>
                <w:sz w:val="18"/>
                <w:szCs w:val="18"/>
              </w:rPr>
              <w:t xml:space="preserve">: Bibliografie (</w:t>
            </w:r>
            <w:r>
              <w:rPr>
                <w:rFonts w:ascii="Courier New" w:hAnsi="Courier New" w:cs="Courier New"/>
                <w:sz w:val="18"/>
                <w:szCs w:val="18"/>
              </w:rPr>
              <w:t xml:space="preserve">doi</w:t>
            </w:r>
            <w:r>
              <w:rPr>
                <w:sz w:val="18"/>
                <w:szCs w:val="18"/>
              </w:rPr>
              <w:t xml:space="preserve">, </w:t>
            </w:r>
            <w:r>
              <w:rPr>
                <w:rFonts w:ascii="Courier New" w:hAnsi="Courier New" w:cs="Courier New"/>
                <w:sz w:val="18"/>
                <w:szCs w:val="18"/>
              </w:rPr>
              <w:t xml:space="preserve">pmid</w:t>
            </w:r>
            <w:r>
              <w:rPr>
                <w:sz w:val="18"/>
                <w:szCs w:val="18"/>
              </w:rPr>
              <w:t xml:space="preserve">, </w:t>
            </w:r>
            <w:r>
              <w:rPr>
                <w:rFonts w:ascii="Courier New" w:hAnsi="Courier New" w:cs="Courier New"/>
                <w:sz w:val="18"/>
                <w:szCs w:val="18"/>
              </w:rPr>
              <w:t xml:space="preserve">nct_id</w:t>
            </w:r>
            <w:r>
              <w:rPr>
                <w:sz w:val="18"/>
                <w:szCs w:val="18"/>
              </w:rPr>
              <w:t xml:space="preserve">, </w:t>
            </w:r>
            <w:r>
              <w:rPr>
                <w:rFonts w:ascii="Courier New" w:hAnsi="Courier New" w:cs="Courier New"/>
                <w:sz w:val="18"/>
                <w:szCs w:val="18"/>
              </w:rPr>
              <w:t xml:space="preserve">oa_url</w:t>
            </w:r>
            <w:r>
              <w:rPr>
                <w:sz w:val="18"/>
                <w:szCs w:val="18"/>
              </w:rPr>
              <w:t xml:space="preserve">, </w:t>
            </w:r>
            <w:r>
              <w:rPr>
                <w:rFonts w:ascii="Courier New" w:hAnsi="Courier New" w:cs="Courier New"/>
                <w:sz w:val="18"/>
                <w:szCs w:val="18"/>
              </w:rPr>
              <w:t xml:space="preserve">journal</w:t>
            </w:r>
            <w:r>
              <w:rPr>
                <w:sz w:val="18"/>
                <w:szCs w:val="18"/>
              </w:rPr>
              <w:t xml:space="preserve">, </w:t>
            </w:r>
            <w:r>
              <w:rPr>
                <w:rFonts w:ascii="Courier New" w:hAnsi="Courier New" w:cs="Courier New"/>
                <w:sz w:val="18"/>
                <w:szCs w:val="18"/>
              </w:rPr>
              <w:t xml:space="preserve">volume</w:t>
            </w:r>
            <w:r>
              <w:rPr>
                <w:sz w:val="18"/>
                <w:szCs w:val="18"/>
              </w:rPr>
              <w:t xml:space="preserve">, </w:t>
            </w:r>
            <w:r>
              <w:rPr>
                <w:rFonts w:ascii="Courier New" w:hAnsi="Courier New" w:cs="Courier New"/>
                <w:sz w:val="18"/>
                <w:szCs w:val="18"/>
              </w:rPr>
              <w:t xml:space="preserve">issue</w:t>
            </w:r>
            <w:r>
              <w:rPr>
                <w:sz w:val="18"/>
                <w:szCs w:val="18"/>
              </w:rPr>
              <w:t xml:space="preserve">, </w:t>
            </w:r>
            <w:r>
              <w:rPr>
                <w:rFonts w:ascii="Courier New" w:hAnsi="Courier New" w:cs="Courier New"/>
                <w:sz w:val="18"/>
                <w:szCs w:val="18"/>
              </w:rPr>
              <w:t xml:space="preserve">pages</w:t>
            </w:r>
            <w:r>
              <w:rPr>
                <w:sz w:val="18"/>
                <w:szCs w:val="18"/>
              </w:rPr>
              <w:t xml:space="preserve">), </w:t>
            </w:r>
            <w:r>
              <w:rPr>
                <w:rFonts w:ascii="Courier New" w:hAnsi="Courier New" w:cs="Courier New"/>
                <w:sz w:val="18"/>
                <w:szCs w:val="18"/>
              </w:rPr>
              <w:t xml:space="preserve">status</w:t>
            </w:r>
            <w:r>
              <w:rPr>
                <w:sz w:val="18"/>
                <w:szCs w:val="18"/>
              </w:rPr>
              <w:t xml:space="preserve"> (</w:t>
            </w:r>
            <w:r>
              <w:rPr>
                <w:rFonts w:ascii="Courier New" w:hAnsi="Courier New" w:cs="Courier New"/>
                <w:sz w:val="18"/>
                <w:szCs w:val="18"/>
              </w:rPr>
              <w:t xml:space="preserve">queued</w:t>
            </w:r>
            <w:r>
              <w:rPr>
                <w:sz w:val="18"/>
                <w:szCs w:val="18"/>
              </w:rPr>
              <w:t xml:space="preserve">, </w:t>
            </w:r>
            <w:r>
              <w:rPr>
                <w:rFonts w:ascii="Courier New" w:hAnsi="Courier New" w:cs="Courier New"/>
                <w:sz w:val="18"/>
                <w:szCs w:val="18"/>
              </w:rPr>
              <w:t xml:space="preserve">conflict</w:t>
            </w:r>
            <w:r>
              <w:rPr>
                <w:sz w:val="18"/>
                <w:szCs w:val="18"/>
              </w:rPr>
              <w:t xml:space="preserve">, </w:t>
            </w:r>
            <w:r>
              <w:rPr>
                <w:rFonts w:ascii="Courier New" w:hAnsi="Courier New" w:cs="Courier New"/>
                <w:sz w:val="18"/>
                <w:szCs w:val="18"/>
              </w:rPr>
              <w:t xml:space="preserve">fulltext</w:t>
            </w:r>
            <w:r>
              <w:rPr>
                <w:sz w:val="18"/>
                <w:szCs w:val="18"/>
              </w:rPr>
              <w:t xml:space="preserve">, </w:t>
            </w:r>
            <w:r>
              <w:rPr>
                <w:rFonts w:ascii="Courier New" w:hAnsi="Courier New" w:cs="Courier New"/>
                <w:sz w:val="18"/>
                <w:szCs w:val="18"/>
              </w:rPr>
              <w:t xml:space="preserve">included</w:t>
            </w:r>
            <w:r>
              <w:rPr>
                <w:sz w:val="18"/>
                <w:szCs w:val="18"/>
              </w:rPr>
              <w:t xml:space="preserve">, </w:t>
            </w:r>
            <w:r>
              <w:rPr>
                <w:rFonts w:ascii="Courier New" w:hAnsi="Courier New" w:cs="Courier New"/>
                <w:sz w:val="18"/>
                <w:szCs w:val="18"/>
              </w:rPr>
              <w:t xml:space="preserve">excluded</w:t>
            </w:r>
            <w:r>
              <w:rPr>
                <w:sz w:val="18"/>
                <w:szCs w:val="18"/>
              </w:rPr>
              <w:t xml:space="preserve">), </w:t>
            </w:r>
            <w:r>
              <w:rPr>
                <w:rFonts w:ascii="Courier New" w:hAnsi="Courier New" w:cs="Courier New"/>
                <w:sz w:val="18"/>
                <w:szCs w:val="18"/>
              </w:rPr>
              <w:t xml:space="preserve">duplicate_of</w:t>
            </w:r>
            <w:r>
              <w:rPr>
                <w:sz w:val="18"/>
                <w:szCs w:val="18"/>
              </w:rPr>
              <w:t xml:space="preserve">, </w:t>
            </w:r>
            <w:r>
              <w:rPr>
                <w:rFonts w:ascii="Courier New" w:hAnsi="Courier New" w:cs="Courier New"/>
                <w:sz w:val="18"/>
                <w:szCs w:val="18"/>
              </w:rPr>
              <w:t xml:space="preserve">retracted</w:t>
            </w:r>
            <w:r>
              <w:rPr>
                <w:sz w:val="18"/>
                <w:szCs w:val="18"/>
              </w:rPr>
              <w:t xml:space="preserve">, </w:t>
            </w:r>
            <w:r>
              <w:rPr>
                <w:rFonts w:ascii="Courier New" w:hAnsi="Courier New" w:cs="Courier New"/>
                <w:sz w:val="18"/>
                <w:szCs w:val="18"/>
              </w:rPr>
              <w:t xml:space="preserve">registry_unpublished</w:t>
            </w:r>
            <w:r>
              <w:rPr>
                <w:sz w:val="18"/>
                <w:szCs w:val="18"/>
              </w:rPr>
              <w:t xml:space="preserve">, </w:t>
            </w:r>
            <w:r>
              <w:rPr>
                <w:rFonts w:ascii="Courier New" w:hAnsi="Courier New" w:cs="Courier New"/>
                <w:sz w:val="18"/>
                <w:szCs w:val="18"/>
              </w:rPr>
              <w:t xml:space="preserve">pdf_identity_unverified</w:t>
            </w:r>
            <w:r>
              <w:rPr>
                <w:sz w:val="18"/>
                <w:szCs w:val="18"/>
              </w:rPr>
              <w:t xml:space="preserve">.&lt;br/&gt;</w:t>
            </w:r>
            <w:r>
              <w:rPr>
                <w:rFonts w:ascii="Courier New" w:hAnsi="Courier New" w:cs="Courier New"/>
                <w:sz w:val="18"/>
                <w:szCs w:val="18"/>
              </w:rPr>
              <w:t xml:space="preserve">decisions</w:t>
            </w:r>
            <w:r>
              <w:rPr>
                <w:sz w:val="18"/>
                <w:szCs w:val="18"/>
              </w:rPr>
              <w:t xml:space="preserve">: Vollständiger Entscheidungs-Audit-Trail (</w:t>
            </w:r>
            <w:r>
              <w:rPr>
                <w:rFonts w:ascii="Courier New" w:hAnsi="Courier New" w:cs="Courier New"/>
                <w:sz w:val="18"/>
                <w:szCs w:val="18"/>
              </w:rPr>
              <w:t xml:space="preserve">reviewer</w:t>
            </w:r>
            <w:r>
              <w:rPr>
                <w:sz w:val="18"/>
                <w:szCs w:val="18"/>
              </w:rPr>
              <w:t xml:space="preserve">, </w:t>
            </w:r>
            <w:r>
              <w:rPr>
                <w:rFonts w:ascii="Courier New" w:hAnsi="Courier New" w:cs="Courier New"/>
                <w:sz w:val="18"/>
                <w:szCs w:val="18"/>
              </w:rPr>
              <w:t xml:space="preserve">stage</w:t>
            </w:r>
            <w:r>
              <w:rPr>
                <w:sz w:val="18"/>
                <w:szCs w:val="18"/>
              </w:rPr>
              <w:t xml:space="preserve">, </w:t>
            </w:r>
            <w:r>
              <w:rPr>
                <w:rFonts w:ascii="Courier New" w:hAnsi="Courier New" w:cs="Courier New"/>
                <w:sz w:val="18"/>
                <w:szCs w:val="18"/>
              </w:rPr>
              <w:t xml:space="preserve">decision</w:t>
            </w:r>
            <w:r>
              <w:rPr>
                <w:sz w:val="18"/>
                <w:szCs w:val="18"/>
              </w:rPr>
              <w:t xml:space="preserve">, </w:t>
            </w:r>
            <w:r>
              <w:rPr>
                <w:rFonts w:ascii="Courier New" w:hAnsi="Courier New" w:cs="Courier New"/>
                <w:sz w:val="18"/>
                <w:szCs w:val="18"/>
              </w:rPr>
              <w:t xml:space="preserve">reason</w:t>
            </w:r>
            <w:r>
              <w:rPr>
                <w:sz w:val="18"/>
                <w:szCs w:val="18"/>
              </w:rPr>
              <w:t xml:space="preserve">, </w:t>
            </w:r>
            <w:r>
              <w:rPr>
                <w:rFonts w:ascii="Courier New" w:hAnsi="Courier New" w:cs="Courier New"/>
                <w:sz w:val="18"/>
                <w:szCs w:val="18"/>
              </w:rPr>
              <w:t xml:space="preserve">decided_by</w:t>
            </w:r>
            <w:r>
              <w:rPr>
                <w:sz w:val="18"/>
                <w:szCs w:val="18"/>
              </w:rPr>
              <w:t xml:space="preserve">).&lt;br/&gt;</w:t>
            </w:r>
            <w:r>
              <w:rPr>
                <w:rFonts w:ascii="Courier New" w:hAnsi="Courier New" w:cs="Courier New"/>
                <w:sz w:val="18"/>
                <w:szCs w:val="18"/>
              </w:rPr>
              <w:t xml:space="preserve">extractions</w:t>
            </w:r>
            <w:r>
              <w:rPr>
                <w:sz w:val="18"/>
                <w:szCs w:val="18"/>
              </w:rPr>
              <w:t xml:space="preserve">: KI-Volltextbefunde inkl. </w:t>
            </w:r>
            <w:r>
              <w:rPr>
                <w:rFonts w:ascii="Courier New" w:hAnsi="Courier New" w:cs="Courier New"/>
                <w:sz w:val="18"/>
                <w:szCs w:val="18"/>
              </w:rPr>
              <w:t xml:space="preserve">findings_json</w:t>
            </w:r>
            <w:r>
              <w:rPr>
                <w:sz w:val="18"/>
                <w:szCs w:val="18"/>
              </w:rPr>
              <w:t xml:space="preserve"> (mit </w:t>
            </w:r>
            <w:r>
              <w:rPr>
                <w:rFonts w:ascii="Courier New" w:hAnsi="Courier New" w:cs="Courier New"/>
                <w:sz w:val="18"/>
                <w:szCs w:val="18"/>
              </w:rPr>
              <w:t xml:space="preserve">quote</w:t>
            </w:r>
            <w:r>
              <w:rPr>
                <w:sz w:val="18"/>
                <w:szCs w:val="18"/>
              </w:rPr>
              <w:t xml:space="preserve"> &amp; </w:t>
            </w:r>
            <w:r>
              <w:rPr>
                <w:rFonts w:ascii="Courier New" w:hAnsi="Courier New" w:cs="Courier New"/>
                <w:sz w:val="18"/>
                <w:szCs w:val="18"/>
              </w:rPr>
              <w:t xml:space="preserve">page</w:t>
            </w:r>
            <w:r>
              <w:rPr>
                <w:sz w:val="18"/>
                <w:szCs w:val="18"/>
              </w:rPr>
              <w:t xml:space="preserve">) und </w:t>
            </w:r>
            <w:r>
              <w:rPr>
                <w:rFonts w:ascii="Courier New" w:hAnsi="Courier New" w:cs="Courier New"/>
                <w:sz w:val="18"/>
                <w:szCs w:val="18"/>
              </w:rPr>
              <w:t xml:space="preserve">confirmed</w:t>
            </w:r>
            <w:r>
              <w:rPr>
                <w:sz w:val="18"/>
                <w:szCs w:val="18"/>
              </w:rPr>
              <w:t xml:space="preserve">.&lt;br/&gt;</w:t>
            </w:r>
            <w:r>
              <w:rPr>
                <w:rFonts w:ascii="Courier New" w:hAnsi="Courier New" w:cs="Courier New"/>
                <w:sz w:val="18"/>
                <w:szCs w:val="18"/>
              </w:rPr>
              <w:t xml:space="preserve">study_codings</w:t>
            </w:r>
            <w:r>
              <w:rPr>
                <w:sz w:val="18"/>
                <w:szCs w:val="18"/>
              </w:rPr>
              <w:t xml:space="preserve">: Kodierte Merkmale für Tabelle 1 je Coder (</w:t>
            </w:r>
            <w:r>
              <w:rPr>
                <w:rFonts w:ascii="Courier New" w:hAnsi="Courier New" w:cs="Courier New"/>
                <w:sz w:val="18"/>
                <w:szCs w:val="18"/>
              </w:rPr>
              <w:t xml:space="preserve">A</w:t>
            </w:r>
            <w:r>
              <w:rPr>
                <w:sz w:val="18"/>
                <w:szCs w:val="18"/>
              </w:rPr>
              <w:t xml:space="preserve">/</w:t>
            </w:r>
            <w:r>
              <w:rPr>
                <w:rFonts w:ascii="Courier New" w:hAnsi="Courier New" w:cs="Courier New"/>
                <w:sz w:val="18"/>
                <w:szCs w:val="18"/>
              </w:rPr>
              <w:t xml:space="preserve">B</w:t>
            </w:r>
            <w:r>
              <w:rPr>
                <w:sz w:val="18"/>
                <w:szCs w:val="18"/>
              </w:rPr>
              <w:t xml:space="preserve">).</w:t>
            </w:r>
          </w:p>
        </w:tc>
      </w:tr>
      <w:tr>
        <w:trPr>
          <w:cantSplit/>
        </w:trPr>
        <w:tc>
          <w:tcPr>
            <w:tcW w:w="3023" w:type="dxa"/>
            <w:tcMar>
              <w:top w:w="60" w:type="dxa"/>
              <w:left w:w="80" w:type="dxa"/>
              <w:bottom w:w="60" w:type="dxa"/>
              <w:right w:w="80" w:type="dxa"/>
            </w:tcMar>
          </w:tcPr>
          <w:p>
            <w:pPr>
              <w:suppressLineNumbers/>
              <w:spacing w:before="20" w:after="20" w:line="240" w:lineRule="auto"/>
            </w:pPr>
            <w:r>
              <w:rPr>
                <w:b/>
                <w:sz w:val="18"/>
                <w:szCs w:val="18"/>
              </w:rPr>
              <w:t xml:space="preserve">Effektgrößen &amp; Synthese</w:t>
            </w:r>
          </w:p>
        </w:tc>
        <w:tc>
          <w:tcPr>
            <w:tcW w:w="3023"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effects</w:t>
            </w:r>
            <w:r>
              <w:rPr>
                <w:sz w:val="18"/>
                <w:szCs w:val="18"/>
              </w:rPr>
              <w:t xml:space="preserve">, </w:t>
            </w:r>
            <w:r>
              <w:rPr>
                <w:rFonts w:ascii="Courier New" w:hAnsi="Courier New" w:cs="Courier New"/>
                <w:sz w:val="18"/>
                <w:szCs w:val="18"/>
              </w:rPr>
              <w:t xml:space="preserve">analysis_runs</w:t>
            </w:r>
          </w:p>
        </w:tc>
        <w:tc>
          <w:tcPr>
            <w:tcW w:w="3024"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effects</w:t>
            </w:r>
            <w:r>
              <w:rPr>
                <w:sz w:val="18"/>
                <w:szCs w:val="18"/>
              </w:rPr>
              <w:t xml:space="preserve">: </w:t>
            </w:r>
            <w:r>
              <w:rPr>
                <w:rFonts w:ascii="Courier New" w:hAnsi="Courier New" w:cs="Courier New"/>
                <w:sz w:val="18"/>
                <w:szCs w:val="18"/>
              </w:rPr>
              <w:t xml:space="preserve">study_id</w:t>
            </w:r>
            <w:r>
              <w:rPr>
                <w:sz w:val="18"/>
                <w:szCs w:val="18"/>
              </w:rPr>
              <w:t xml:space="preserve">, </w:t>
            </w:r>
            <w:r>
              <w:rPr>
                <w:rFonts w:ascii="Courier New" w:hAnsi="Courier New" w:cs="Courier New"/>
                <w:sz w:val="18"/>
                <w:szCs w:val="18"/>
              </w:rPr>
              <w:t xml:space="preserve">coder</w:t>
            </w:r>
            <w:r>
              <w:rPr>
                <w:sz w:val="18"/>
                <w:szCs w:val="18"/>
              </w:rPr>
              <w:t xml:space="preserve"> (</w:t>
            </w:r>
            <w:r>
              <w:rPr>
                <w:rFonts w:ascii="Courier New" w:hAnsi="Courier New" w:cs="Courier New"/>
                <w:sz w:val="18"/>
                <w:szCs w:val="18"/>
              </w:rPr>
              <w:t xml:space="preserve">A</w:t>
            </w:r>
            <w:r>
              <w:rPr>
                <w:sz w:val="18"/>
                <w:szCs w:val="18"/>
              </w:rPr>
              <w:t xml:space="preserve">/</w:t>
            </w:r>
            <w:r>
              <w:rPr>
                <w:rFonts w:ascii="Courier New" w:hAnsi="Courier New" w:cs="Courier New"/>
                <w:sz w:val="18"/>
                <w:szCs w:val="18"/>
              </w:rPr>
              <w:t xml:space="preserve">B</w:t>
            </w:r>
            <w:r>
              <w:rPr>
                <w:sz w:val="18"/>
                <w:szCs w:val="18"/>
              </w:rPr>
              <w:t xml:space="preserve">), </w:t>
            </w:r>
            <w:r>
              <w:rPr>
                <w:rFonts w:ascii="Courier New" w:hAnsi="Courier New" w:cs="Courier New"/>
                <w:sz w:val="18"/>
                <w:szCs w:val="18"/>
              </w:rPr>
              <w:t xml:space="preserve">metric</w:t>
            </w:r>
            <w:r>
              <w:rPr>
                <w:sz w:val="18"/>
                <w:szCs w:val="18"/>
              </w:rPr>
              <w:t xml:space="preserve">, </w:t>
            </w:r>
            <w:r>
              <w:rPr>
                <w:rFonts w:ascii="Courier New" w:hAnsi="Courier New" w:cs="Courier New"/>
                <w:sz w:val="18"/>
                <w:szCs w:val="18"/>
              </w:rPr>
              <w:t xml:space="preserve">input_json</w:t>
            </w:r>
            <w:r>
              <w:rPr>
                <w:sz w:val="18"/>
                <w:szCs w:val="18"/>
              </w:rPr>
              <w:t xml:space="preserve">, </w:t>
            </w:r>
            <w:r>
              <w:rPr>
                <w:rFonts w:ascii="Courier New" w:hAnsi="Courier New" w:cs="Courier New"/>
                <w:sz w:val="18"/>
                <w:szCs w:val="18"/>
              </w:rPr>
              <w:t xml:space="preserve">y</w:t>
            </w:r>
            <w:r>
              <w:rPr>
                <w:sz w:val="18"/>
                <w:szCs w:val="18"/>
              </w:rPr>
              <w:t xml:space="preserve">, </w:t>
            </w:r>
            <w:r>
              <w:rPr>
                <w:rFonts w:ascii="Courier New" w:hAnsi="Courier New" w:cs="Courier New"/>
                <w:sz w:val="18"/>
                <w:szCs w:val="18"/>
              </w:rPr>
              <w:t xml:space="preserve">v</w:t>
            </w:r>
            <w:r>
              <w:rPr>
                <w:sz w:val="18"/>
                <w:szCs w:val="18"/>
              </w:rPr>
              <w:t xml:space="preserve">, </w:t>
            </w:r>
            <w:r>
              <w:rPr>
                <w:rFonts w:ascii="Courier New" w:hAnsi="Courier New" w:cs="Courier New"/>
                <w:sz w:val="18"/>
                <w:szCs w:val="18"/>
              </w:rPr>
              <w:t xml:space="preserve">se</w:t>
            </w:r>
            <w:r>
              <w:rPr>
                <w:sz w:val="18"/>
                <w:szCs w:val="18"/>
              </w:rPr>
              <w:t xml:space="preserve">, </w:t>
            </w:r>
            <w:r>
              <w:rPr>
                <w:rFonts w:ascii="Courier New" w:hAnsi="Courier New" w:cs="Courier New"/>
                <w:sz w:val="18"/>
                <w:szCs w:val="18"/>
              </w:rPr>
              <w:t xml:space="preserve">display</w:t>
            </w:r>
            <w:r>
              <w:rPr>
                <w:sz w:val="18"/>
                <w:szCs w:val="18"/>
              </w:rPr>
              <w:t xml:space="preserve">, </w:t>
            </w:r>
            <w:r>
              <w:rPr>
                <w:rFonts w:ascii="Courier New" w:hAnsi="Courier New" w:cs="Courier New"/>
                <w:sz w:val="18"/>
                <w:szCs w:val="18"/>
              </w:rPr>
              <w:t xml:space="preserve">intervention_class</w:t>
            </w:r>
            <w:r>
              <w:rPr>
                <w:sz w:val="18"/>
                <w:szCs w:val="18"/>
              </w:rPr>
              <w:t xml:space="preserve">, </w:t>
            </w:r>
            <w:r>
              <w:rPr>
                <w:rFonts w:ascii="Courier New" w:hAnsi="Courier New" w:cs="Courier New"/>
                <w:sz w:val="18"/>
                <w:szCs w:val="18"/>
              </w:rPr>
              <w:t xml:space="preserve">outcome_type</w:t>
            </w:r>
            <w:r>
              <w:rPr>
                <w:sz w:val="18"/>
                <w:szCs w:val="18"/>
              </w:rPr>
              <w:t xml:space="preserve">, </w:t>
            </w:r>
            <w:r>
              <w:rPr>
                <w:rFonts w:ascii="Courier New" w:hAnsi="Courier New" w:cs="Courier New"/>
                <w:sz w:val="18"/>
                <w:szCs w:val="18"/>
              </w:rPr>
              <w:t xml:space="preserve">timepoint</w:t>
            </w:r>
            <w:r>
              <w:rPr>
                <w:sz w:val="18"/>
                <w:szCs w:val="18"/>
              </w:rPr>
              <w:t xml:space="preserve">, </w:t>
            </w:r>
            <w:r>
              <w:rPr>
                <w:rFonts w:ascii="Courier New" w:hAnsi="Courier New" w:cs="Courier New"/>
                <w:sz w:val="18"/>
                <w:szCs w:val="18"/>
              </w:rPr>
              <w:t xml:space="preserve">decided_by</w:t>
            </w:r>
            <w:r>
              <w:rPr>
                <w:sz w:val="18"/>
                <w:szCs w:val="18"/>
              </w:rPr>
              <w:t xml:space="preserve">.&lt;br/&gt;</w:t>
            </w:r>
            <w:r>
              <w:rPr>
                <w:rFonts w:ascii="Courier New" w:hAnsi="Courier New" w:cs="Courier New"/>
                <w:sz w:val="18"/>
                <w:szCs w:val="18"/>
              </w:rPr>
              <w:t xml:space="preserve">analysis_runs</w:t>
            </w:r>
            <w:r>
              <w:rPr>
                <w:sz w:val="18"/>
                <w:szCs w:val="18"/>
              </w:rPr>
              <w:t xml:space="preserve">: Versionierte R- und TS-Analyseläufe (</w:t>
            </w:r>
            <w:r>
              <w:rPr>
                <w:rFonts w:ascii="Courier New" w:hAnsi="Courier New" w:cs="Courier New"/>
                <w:sz w:val="18"/>
                <w:szCs w:val="18"/>
              </w:rPr>
              <w:t xml:space="preserve">version</w:t>
            </w:r>
            <w:r>
              <w:rPr>
                <w:sz w:val="18"/>
                <w:szCs w:val="18"/>
              </w:rPr>
              <w:t xml:space="preserve">, </w:t>
            </w:r>
            <w:r>
              <w:rPr>
                <w:rFonts w:ascii="Courier New" w:hAnsi="Courier New" w:cs="Courier New"/>
                <w:sz w:val="18"/>
                <w:szCs w:val="18"/>
              </w:rPr>
              <w:t xml:space="preserve">model</w:t>
            </w:r>
            <w:r>
              <w:rPr>
                <w:sz w:val="18"/>
                <w:szCs w:val="18"/>
              </w:rPr>
              <w:t xml:space="preserve">, </w:t>
            </w:r>
            <w:r>
              <w:rPr>
                <w:rFonts w:ascii="Courier New" w:hAnsi="Courier New" w:cs="Courier New"/>
                <w:sz w:val="18"/>
                <w:szCs w:val="18"/>
              </w:rPr>
              <w:t xml:space="preserve">metric</w:t>
            </w:r>
            <w:r>
              <w:rPr>
                <w:sz w:val="18"/>
                <w:szCs w:val="18"/>
              </w:rPr>
              <w:t xml:space="preserve">, </w:t>
            </w:r>
            <w:r>
              <w:rPr>
                <w:rFonts w:ascii="Courier New" w:hAnsi="Courier New" w:cs="Courier New"/>
                <w:sz w:val="18"/>
                <w:szCs w:val="18"/>
              </w:rPr>
              <w:t xml:space="preserve">k</w:t>
            </w:r>
            <w:r>
              <w:rPr>
                <w:sz w:val="18"/>
                <w:szCs w:val="18"/>
              </w:rPr>
              <w:t xml:space="preserve">, </w:t>
            </w:r>
            <w:r>
              <w:rPr>
                <w:rFonts w:ascii="Courier New" w:hAnsi="Courier New" w:cs="Courier New"/>
                <w:sz w:val="18"/>
                <w:szCs w:val="18"/>
              </w:rPr>
              <w:t xml:space="preserve">data_hash</w:t>
            </w:r>
            <w:r>
              <w:rPr>
                <w:sz w:val="18"/>
                <w:szCs w:val="18"/>
              </w:rPr>
              <w:t xml:space="preserve">, </w:t>
            </w:r>
            <w:r>
              <w:rPr>
                <w:rFonts w:ascii="Courier New" w:hAnsi="Courier New" w:cs="Courier New"/>
                <w:sz w:val="18"/>
                <w:szCs w:val="18"/>
              </w:rPr>
              <w:t xml:space="preserve">results_json</w:t>
            </w:r>
            <w:r>
              <w:rPr>
                <w:sz w:val="18"/>
                <w:szCs w:val="18"/>
              </w:rPr>
              <w:t xml:space="preserve">, </w:t>
            </w:r>
            <w:r>
              <w:rPr>
                <w:rFonts w:ascii="Courier New" w:hAnsi="Courier New" w:cs="Courier New"/>
                <w:sz w:val="18"/>
                <w:szCs w:val="18"/>
              </w:rPr>
              <w:t xml:space="preserve">released</w:t>
            </w:r>
            <w:r>
              <w:rPr>
                <w:sz w:val="18"/>
                <w:szCs w:val="18"/>
              </w:rPr>
              <w:t xml:space="preserve">).</w:t>
            </w:r>
          </w:p>
        </w:tc>
      </w:tr>
      <w:tr>
        <w:trPr>
          <w:cantSplit/>
        </w:trPr>
        <w:tc>
          <w:tcPr>
            <w:tcW w:w="3023" w:type="dxa"/>
            <w:tcMar>
              <w:top w:w="60" w:type="dxa"/>
              <w:left w:w="80" w:type="dxa"/>
              <w:bottom w:w="60" w:type="dxa"/>
              <w:right w:w="80" w:type="dxa"/>
            </w:tcMar>
          </w:tcPr>
          <w:p>
            <w:pPr>
              <w:suppressLineNumbers/>
              <w:spacing w:before="20" w:after="20" w:line="240" w:lineRule="auto"/>
            </w:pPr>
            <w:r>
              <w:rPr>
                <w:b/>
                <w:sz w:val="18"/>
                <w:szCs w:val="18"/>
              </w:rPr>
              <w:t xml:space="preserve">Qualitäts- &amp; Evidenzbewertung</w:t>
            </w:r>
          </w:p>
        </w:tc>
        <w:tc>
          <w:tcPr>
            <w:tcW w:w="3023"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rob2_assessments</w:t>
            </w:r>
            <w:r>
              <w:rPr>
                <w:sz w:val="18"/>
                <w:szCs w:val="18"/>
              </w:rPr>
              <w:t xml:space="preserve">, </w:t>
            </w:r>
            <w:r>
              <w:rPr>
                <w:rFonts w:ascii="Courier New" w:hAnsi="Courier New" w:cs="Courier New"/>
                <w:sz w:val="18"/>
                <w:szCs w:val="18"/>
              </w:rPr>
              <w:t xml:space="preserve">robins_assessments</w:t>
            </w:r>
            <w:r>
              <w:rPr>
                <w:sz w:val="18"/>
                <w:szCs w:val="18"/>
              </w:rPr>
              <w:t xml:space="preserve">, </w:t>
            </w:r>
            <w:r>
              <w:rPr>
                <w:rFonts w:ascii="Courier New" w:hAnsi="Courier New" w:cs="Courier New"/>
                <w:sz w:val="18"/>
                <w:szCs w:val="18"/>
              </w:rPr>
              <w:t xml:space="preserve">quadas2_assessments</w:t>
            </w:r>
            <w:r>
              <w:rPr>
                <w:sz w:val="18"/>
                <w:szCs w:val="18"/>
              </w:rPr>
              <w:t xml:space="preserve">, </w:t>
            </w:r>
            <w:r>
              <w:rPr>
                <w:rFonts w:ascii="Courier New" w:hAnsi="Courier New" w:cs="Courier New"/>
                <w:sz w:val="18"/>
                <w:szCs w:val="18"/>
              </w:rPr>
              <w:t xml:space="preserve">grade_assessments</w:t>
            </w:r>
          </w:p>
        </w:tc>
        <w:tc>
          <w:tcPr>
            <w:tcW w:w="3024"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rob2_assessments</w:t>
            </w:r>
            <w:r>
              <w:rPr>
                <w:sz w:val="18"/>
                <w:szCs w:val="18"/>
              </w:rPr>
              <w:t xml:space="preserve"> (</w:t>
            </w:r>
            <w:r>
              <w:rPr>
                <w:rFonts w:ascii="Courier New" w:hAnsi="Courier New" w:cs="Courier New"/>
                <w:sz w:val="18"/>
                <w:szCs w:val="18"/>
              </w:rPr>
              <w:t xml:space="preserve">d1</w:t>
            </w:r>
            <w:r>
              <w:rPr>
                <w:sz w:val="18"/>
                <w:szCs w:val="18"/>
              </w:rPr>
              <w:t xml:space="preserve">–</w:t>
            </w:r>
            <w:r>
              <w:rPr>
                <w:rFonts w:ascii="Courier New" w:hAnsi="Courier New" w:cs="Courier New"/>
                <w:sz w:val="18"/>
                <w:szCs w:val="18"/>
              </w:rPr>
              <w:t xml:space="preserve">d5</w:t>
            </w:r>
            <w:r>
              <w:rPr>
                <w:sz w:val="18"/>
                <w:szCs w:val="18"/>
              </w:rPr>
              <w:t xml:space="preserve">), </w:t>
            </w:r>
            <w:r>
              <w:rPr>
                <w:rFonts w:ascii="Courier New" w:hAnsi="Courier New" w:cs="Courier New"/>
                <w:sz w:val="18"/>
                <w:szCs w:val="18"/>
              </w:rPr>
              <w:t xml:space="preserve">robins_assessments</w:t>
            </w:r>
            <w:r>
              <w:rPr>
                <w:sz w:val="18"/>
                <w:szCs w:val="18"/>
              </w:rPr>
              <w:t xml:space="preserve"> (</w:t>
            </w:r>
            <w:r>
              <w:rPr>
                <w:rFonts w:ascii="Courier New" w:hAnsi="Courier New" w:cs="Courier New"/>
                <w:sz w:val="18"/>
                <w:szCs w:val="18"/>
              </w:rPr>
              <w:t xml:space="preserve">d1</w:t>
            </w:r>
            <w:r>
              <w:rPr>
                <w:sz w:val="18"/>
                <w:szCs w:val="18"/>
              </w:rPr>
              <w:t xml:space="preserve">–</w:t>
            </w:r>
            <w:r>
              <w:rPr>
                <w:rFonts w:ascii="Courier New" w:hAnsi="Courier New" w:cs="Courier New"/>
                <w:sz w:val="18"/>
                <w:szCs w:val="18"/>
              </w:rPr>
              <w:t xml:space="preserve">d7</w:t>
            </w:r>
            <w:r>
              <w:rPr>
                <w:sz w:val="18"/>
                <w:szCs w:val="18"/>
              </w:rPr>
              <w:t xml:space="preserve">), </w:t>
            </w:r>
            <w:r>
              <w:rPr>
                <w:rFonts w:ascii="Courier New" w:hAnsi="Courier New" w:cs="Courier New"/>
                <w:sz w:val="18"/>
                <w:szCs w:val="18"/>
              </w:rPr>
              <w:t xml:space="preserve">quadas2_assessments</w:t>
            </w:r>
            <w:r>
              <w:rPr>
                <w:sz w:val="18"/>
                <w:szCs w:val="18"/>
              </w:rPr>
              <w:t xml:space="preserve"> (</w:t>
            </w:r>
            <w:r>
              <w:rPr>
                <w:rFonts w:ascii="Courier New" w:hAnsi="Courier New" w:cs="Courier New"/>
                <w:sz w:val="18"/>
                <w:szCs w:val="18"/>
              </w:rPr>
              <w:t xml:space="preserve">patient_selection</w:t>
            </w:r>
            <w:r>
              <w:rPr>
                <w:sz w:val="18"/>
                <w:szCs w:val="18"/>
              </w:rPr>
              <w:t xml:space="preserve">, </w:t>
            </w:r>
            <w:r>
              <w:rPr>
                <w:rFonts w:ascii="Courier New" w:hAnsi="Courier New" w:cs="Courier New"/>
                <w:sz w:val="18"/>
                <w:szCs w:val="18"/>
              </w:rPr>
              <w:t xml:space="preserve">index_test</w:t>
            </w:r>
            <w:r>
              <w:rPr>
                <w:sz w:val="18"/>
                <w:szCs w:val="18"/>
              </w:rPr>
              <w:t xml:space="preserve">, </w:t>
            </w:r>
            <w:r>
              <w:rPr>
                <w:rFonts w:ascii="Courier New" w:hAnsi="Courier New" w:cs="Courier New"/>
                <w:sz w:val="18"/>
                <w:szCs w:val="18"/>
              </w:rPr>
              <w:t xml:space="preserve">reference_standard</w:t>
            </w:r>
            <w:r>
              <w:rPr>
                <w:sz w:val="18"/>
                <w:szCs w:val="18"/>
              </w:rPr>
              <w:t xml:space="preserve">, </w:t>
            </w:r>
            <w:r>
              <w:rPr>
                <w:rFonts w:ascii="Courier New" w:hAnsi="Courier New" w:cs="Courier New"/>
                <w:sz w:val="18"/>
                <w:szCs w:val="18"/>
              </w:rPr>
              <w:t xml:space="preserve">flow_timing</w:t>
            </w:r>
            <w:r>
              <w:rPr>
                <w:sz w:val="18"/>
                <w:szCs w:val="18"/>
              </w:rPr>
              <w:t xml:space="preserve"> mit </w:t>
            </w:r>
            <w:r>
              <w:rPr>
                <w:rFonts w:ascii="Courier New" w:hAnsi="Courier New" w:cs="Courier New"/>
                <w:sz w:val="18"/>
                <w:szCs w:val="18"/>
              </w:rPr>
              <w:t xml:space="preserve">risk_of_bias</w:t>
            </w:r>
            <w:r>
              <w:rPr>
                <w:sz w:val="18"/>
                <w:szCs w:val="18"/>
              </w:rPr>
              <w:t xml:space="preserve"> + </w:t>
            </w:r>
            <w:r>
              <w:rPr>
                <w:rFonts w:ascii="Courier New" w:hAnsi="Courier New" w:cs="Courier New"/>
                <w:sz w:val="18"/>
                <w:szCs w:val="18"/>
              </w:rPr>
              <w:t xml:space="preserve">applicability</w:t>
            </w:r>
            <w:r>
              <w:rPr>
                <w:sz w:val="18"/>
                <w:szCs w:val="18"/>
              </w:rPr>
              <w:t xml:space="preserve">), </w:t>
            </w:r>
            <w:r>
              <w:rPr>
                <w:rFonts w:ascii="Courier New" w:hAnsi="Courier New" w:cs="Courier New"/>
                <w:sz w:val="18"/>
                <w:szCs w:val="18"/>
              </w:rPr>
              <w:t xml:space="preserve">grade_assessments</w:t>
            </w:r>
            <w:r>
              <w:rPr>
                <w:sz w:val="18"/>
                <w:szCs w:val="18"/>
              </w:rPr>
              <w:t xml:space="preserve"> (je </w:t>
            </w:r>
            <w:r>
              <w:rPr>
                <w:rFonts w:ascii="Courier New" w:hAnsi="Courier New" w:cs="Courier New"/>
                <w:sz w:val="18"/>
                <w:szCs w:val="18"/>
              </w:rPr>
              <w:t xml:space="preserve">(project_id, outcome, metric)</w:t>
            </w:r>
            <w:r>
              <w:rPr>
                <w:sz w:val="18"/>
                <w:szCs w:val="18"/>
              </w:rPr>
              <w:t xml:space="preserve">).</w:t>
            </w:r>
          </w:p>
        </w:tc>
      </w:tr>
      <w:tr>
        <w:trPr>
          <w:cantSplit/>
        </w:trPr>
        <w:tc>
          <w:tcPr>
            <w:tcW w:w="3023" w:type="dxa"/>
            <w:tcMar>
              <w:top w:w="60" w:type="dxa"/>
              <w:left w:w="80" w:type="dxa"/>
              <w:bottom w:w="60" w:type="dxa"/>
              <w:right w:w="80" w:type="dxa"/>
            </w:tcMar>
          </w:tcPr>
          <w:p>
            <w:pPr>
              <w:suppressLineNumbers/>
              <w:spacing w:before="20" w:after="20" w:line="240" w:lineRule="auto"/>
            </w:pPr>
            <w:r>
              <w:rPr>
                <w:b/>
                <w:sz w:val="18"/>
                <w:szCs w:val="18"/>
              </w:rPr>
              <w:t xml:space="preserve">Governance &amp; API-Sicherheit</w:t>
            </w:r>
          </w:p>
        </w:tc>
        <w:tc>
          <w:tcPr>
            <w:tcW w:w="3023"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ratifications</w:t>
            </w:r>
            <w:r>
              <w:rPr>
                <w:sz w:val="18"/>
                <w:szCs w:val="18"/>
              </w:rPr>
              <w:t xml:space="preserve">, </w:t>
            </w:r>
            <w:r>
              <w:rPr>
                <w:rFonts w:ascii="Courier New" w:hAnsi="Courier New" w:cs="Courier New"/>
                <w:sz w:val="18"/>
                <w:szCs w:val="18"/>
              </w:rPr>
              <w:t xml:space="preserve">idempotency_keys</w:t>
            </w:r>
            <w:r>
              <w:rPr>
                <w:sz w:val="18"/>
                <w:szCs w:val="18"/>
              </w:rPr>
              <w:t xml:space="preserve">, </w:t>
            </w:r>
            <w:r>
              <w:rPr>
                <w:rFonts w:ascii="Courier New" w:hAnsi="Courier New" w:cs="Courier New"/>
                <w:sz w:val="18"/>
                <w:szCs w:val="18"/>
              </w:rPr>
              <w:t xml:space="preserve">llm_calls</w:t>
            </w:r>
          </w:p>
        </w:tc>
        <w:tc>
          <w:tcPr>
            <w:tcW w:w="3024"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ratifications</w:t>
            </w:r>
            <w:r>
              <w:rPr>
                <w:sz w:val="18"/>
                <w:szCs w:val="18"/>
              </w:rPr>
              <w:t xml:space="preserve">: Status (</w:t>
            </w:r>
            <w:r>
              <w:rPr>
                <w:rFonts w:ascii="Courier New" w:hAnsi="Courier New" w:cs="Courier New"/>
                <w:sz w:val="18"/>
                <w:szCs w:val="18"/>
              </w:rPr>
              <w:t xml:space="preserve">offen</w:t>
            </w:r>
            <w:r>
              <w:rPr>
                <w:sz w:val="18"/>
                <w:szCs w:val="18"/>
              </w:rPr>
              <w:t xml:space="preserve">, </w:t>
            </w:r>
            <w:r>
              <w:rPr>
                <w:rFonts w:ascii="Courier New" w:hAnsi="Courier New" w:cs="Courier New"/>
                <w:sz w:val="18"/>
                <w:szCs w:val="18"/>
              </w:rPr>
              <w:t xml:space="preserve">bestaetigt</w:t>
            </w:r>
            <w:r>
              <w:rPr>
                <w:sz w:val="18"/>
                <w:szCs w:val="18"/>
              </w:rPr>
              <w:t xml:space="preserve">, </w:t>
            </w:r>
            <w:r>
              <w:rPr>
                <w:rFonts w:ascii="Courier New" w:hAnsi="Courier New" w:cs="Courier New"/>
                <w:sz w:val="18"/>
                <w:szCs w:val="18"/>
              </w:rPr>
              <w:t xml:space="preserve">geaendert</w:t>
            </w:r>
            <w:r>
              <w:rPr>
                <w:sz w:val="18"/>
                <w:szCs w:val="18"/>
              </w:rPr>
              <w:t xml:space="preserve">) für </w:t>
            </w:r>
            <w:r>
              <w:rPr>
                <w:rFonts w:ascii="Courier New" w:hAnsi="Courier New" w:cs="Courier New"/>
                <w:sz w:val="18"/>
                <w:szCs w:val="18"/>
              </w:rPr>
              <w:t xml:space="preserve">agent:*</w:t>
            </w:r>
            <w:r>
              <w:rPr>
                <w:sz w:val="18"/>
                <w:szCs w:val="18"/>
              </w:rPr>
              <w:t xml:space="preserve">-Entscheidungen an den 4 Weichen.&lt;br/&gt;</w:t>
            </w:r>
            <w:r>
              <w:rPr>
                <w:rFonts w:ascii="Courier New" w:hAnsi="Courier New" w:cs="Courier New"/>
                <w:sz w:val="18"/>
                <w:szCs w:val="18"/>
              </w:rPr>
              <w:t xml:space="preserve">idempotency_keys</w:t>
            </w:r>
            <w:r>
              <w:rPr>
                <w:sz w:val="18"/>
                <w:szCs w:val="18"/>
              </w:rPr>
              <w:t xml:space="preserve">: Scoped auf </w:t>
            </w:r>
            <w:r>
              <w:rPr>
                <w:rFonts w:ascii="Courier New" w:hAnsi="Courier New" w:cs="Courier New"/>
                <w:sz w:val="18"/>
                <w:szCs w:val="18"/>
              </w:rPr>
              <w:t xml:space="preserve">(key, actor, method, path)</w:t>
            </w:r>
            <w:r>
              <w:rPr>
                <w:sz w:val="18"/>
                <w:szCs w:val="18"/>
              </w:rPr>
              <w:t xml:space="preserve"> mit </w:t>
            </w:r>
            <w:r>
              <w:rPr>
                <w:rFonts w:ascii="Courier New" w:hAnsi="Courier New" w:cs="Courier New"/>
                <w:sz w:val="18"/>
                <w:szCs w:val="18"/>
              </w:rPr>
              <w:t xml:space="preserve">request_hash</w:t>
            </w:r>
            <w:r>
              <w:rPr>
                <w:sz w:val="18"/>
                <w:szCs w:val="18"/>
              </w:rPr>
              <w:t xml:space="preserve"> (SHA-256), verhindert doppelte Ausführung und Cross-Tenant-Replays.&lt;br/&gt;</w:t>
            </w:r>
            <w:r>
              <w:rPr>
                <w:rFonts w:ascii="Courier New" w:hAnsi="Courier New" w:cs="Courier New"/>
                <w:sz w:val="18"/>
                <w:szCs w:val="18"/>
              </w:rPr>
              <w:t xml:space="preserve">llm_calls</w:t>
            </w:r>
            <w:r>
              <w:rPr>
                <w:sz w:val="18"/>
                <w:szCs w:val="18"/>
              </w:rPr>
              <w:t xml:space="preserve">: Token- und USD-Kostenprotokoll je Modell und Aufgabe.</w:t>
            </w:r>
          </w:p>
        </w:tc>
      </w:tr>
    </w:tbl>
    <w:p>
      <w:pPr>
        <w:spacing w:after="0" w:line="240" w:lineRule="auto"/>
      </w:pPr>
    </w:p>
    <w:p>
      <w:pPr>
        <w:pBdr>
          <w:bottom w:val="single" w:sz="6" w:space="1" w:color="B4B4B4"/>
        </w:pBdr>
      </w:pPr>
    </w:p>
    <w:p>
      <w:pPr>
        <w:pStyle w:val="Ueberschrift3"/>
      </w:pPr>
      <w:r>
        <w:t xml:space="preserve">11. R-Bridge (</w:t>
      </w:r>
      <w:r>
        <w:rPr>
          <w:rFonts w:ascii="Courier New" w:hAnsi="Courier New" w:cs="Courier New"/>
        </w:rPr>
        <w:t xml:space="preserve">metafor</w:t>
      </w:r>
      <w:r>
        <w:t xml:space="preserve"> + </w:t>
      </w:r>
      <w:r>
        <w:rPr>
          <w:rFonts w:ascii="Courier New" w:hAnsi="Courier New" w:cs="Courier New"/>
        </w:rPr>
        <w:t xml:space="preserve">clubSandwich</w:t>
      </w:r>
      <w:r>
        <w:t xml:space="preserve">) &amp; Snapshot-Hashing</w:t>
      </w:r>
    </w:p>
    <w:p>
      <w:r>
        <w:t xml:space="preserve">Die Datei </w:t>
      </w:r>
      <w:r>
        <w:rPr>
          <w:rFonts w:ascii="Courier New" w:hAnsi="Courier New" w:cs="Courier New"/>
        </w:rPr>
        <w:t xml:space="preserve">lib/r-service.ts</w:t>
      </w:r>
      <w:r>
        <w:t xml:space="preserve"> bildet die Brücke zwischen dem TypeScript-Server und der statistischen Referenzimplementierung in </w:t>
      </w:r>
      <w:r>
        <w:rPr>
          <w:rFonts w:ascii="Courier New" w:hAnsi="Courier New" w:cs="Courier New"/>
        </w:rPr>
        <w:t xml:space="preserve">r/analyse.R</w:t>
      </w:r>
      <w:r>
        <w:t xml:space="preserve">:</w:t>
      </w:r>
    </w:p>
    <w:p>
      <w:pPr>
        <w:numPr>
          <w:ilvl w:val="0"/>
          <w:numId w:val="2"/>
        </w:numPr>
      </w:pPr>
      <w:r>
        <w:rPr>
          <w:b/>
        </w:rPr>
        <w:t xml:space="preserve">Prozess-Isolation &amp; Sicherheit:</w:t>
      </w:r>
    </w:p>
    <w:p>
      <w:pPr>
        <w:numPr>
          <w:ilvl w:val="0"/>
          <w:numId w:val="1"/>
        </w:numPr>
      </w:pPr>
      <w:r>
        <w:t xml:space="preserve">Der Aufruf erfolgt ausschließlich über </w:t>
      </w:r>
      <w:r>
        <w:rPr>
          <w:rFonts w:ascii="Courier New" w:hAnsi="Courier New" w:cs="Courier New"/>
        </w:rPr>
        <w:t xml:space="preserve">execFile('Rscript', ['--vanilla', 'r/analyse.R', inputPath, outputPath])</w:t>
      </w:r>
      <w:r>
        <w:t xml:space="preserve"> ohne Shell-Interpolation (</w:t>
      </w:r>
      <w:r>
        <w:rPr>
          <w:rFonts w:ascii="Courier New" w:hAnsi="Courier New" w:cs="Courier New"/>
        </w:rPr>
        <w:t xml:space="preserve">shell: false</w:t>
      </w:r>
      <w:r>
        <w:t xml:space="preserve">), mit hartem Timeout (</w:t>
      </w:r>
      <w:r>
        <w:rPr>
          <w:rFonts w:ascii="Courier New" w:hAnsi="Courier New" w:cs="Courier New"/>
        </w:rPr>
        <w:t xml:space="preserve">60 000 ms</w:t>
      </w:r>
      <w:r>
        <w:t xml:space="preserve">) und automatischer Bereinigung des temporären Arbeitsverzeichnisses (</w:t>
      </w:r>
      <w:r>
        <w:rPr>
          <w:rFonts w:ascii="Courier New" w:hAnsi="Courier New" w:cs="Courier New"/>
        </w:rPr>
        <w:t xml:space="preserve">rmSync(..., { force: true, recursive: true })</w:t>
      </w:r>
      <w:r>
        <w:t xml:space="preserve"> im </w:t>
      </w:r>
      <w:r>
        <w:rPr>
          <w:rFonts w:ascii="Courier New" w:hAnsi="Courier New" w:cs="Courier New"/>
        </w:rPr>
        <w:t xml:space="preserve">finally</w:t>
      </w:r>
      <w:r>
        <w:t xml:space="preserve">-Block).</w:t>
      </w:r>
    </w:p>
    <w:p>
      <w:pPr>
        <w:numPr>
          <w:ilvl w:val="0"/>
          <w:numId w:val="1"/>
        </w:numPr>
      </w:pPr>
      <w:r>
        <w:t xml:space="preserve">Retrahierte Studien (</w:t>
      </w:r>
      <w:r>
        <w:rPr>
          <w:rFonts w:ascii="Courier New" w:hAnsi="Courier New" w:cs="Courier New"/>
        </w:rPr>
        <w:t xml:space="preserve">study_retracted = 1</w:t>
      </w:r>
      <w:r>
        <w:t xml:space="preserve">) werden vor der Übergabe an R zentral herausgefiltert.</w:t>
      </w:r>
    </w:p>
    <w:p>
      <w:pPr>
        <w:numPr>
          <w:ilvl w:val="0"/>
          <w:numId w:val="2"/>
        </w:numPr>
      </w:pPr>
      <w:r>
        <w:rPr>
          <w:b/>
        </w:rPr>
        <w:t xml:space="preserve">Deterministischer Snapshot-Hash (</w:t>
      </w:r>
      <w:r>
        <w:rPr>
          <w:rFonts w:ascii="Courier New" w:hAnsi="Courier New" w:cs="Courier New"/>
        </w:rPr>
        <w:t xml:space="preserve">computeDataHash</w:t>
      </w:r>
      <w:r>
        <w:rPr>
          <w:b/>
        </w:rPr>
        <w:t xml:space="preserve">):</w:t>
      </w:r>
    </w:p>
    <w:p>
      <w:pPr>
        <w:numPr>
          <w:ilvl w:val="0"/>
          <w:numId w:val="1"/>
        </w:numPr>
      </w:pPr>
      <w:r>
        <w:t xml:space="preserve">Vor jedem Analyselauf berechnet </w:t>
      </w:r>
      <w:r>
        <w:rPr>
          <w:rFonts w:ascii="Courier New" w:hAnsi="Courier New" w:cs="Courier New"/>
        </w:rPr>
        <w:t xml:space="preserve">computeDataHash</w:t>
      </w:r>
      <w:r>
        <w:t xml:space="preserve"> einen kanonischen </w:t>
      </w:r>
      <w:r>
        <w:rPr>
          <w:b/>
        </w:rPr>
        <w:t xml:space="preserve">SHA-256-Hash</w:t>
      </w:r>
      <w:r>
        <w:t xml:space="preserve"> über alle sortierten Tupel </w:t>
      </w:r>
      <w:r>
        <w:rPr>
          <w:rFonts w:ascii="Courier New" w:hAnsi="Courier New" w:cs="Courier New"/>
        </w:rPr>
        <w:t xml:space="preserve">(id, study_id, metric, y, v, intervention_class, outcome_type, timepoint)</w:t>
      </w:r>
      <w:r>
        <w:t xml:space="preserve">.</w:t>
      </w:r>
    </w:p>
    <w:p>
      <w:pPr>
        <w:numPr>
          <w:ilvl w:val="0"/>
          <w:numId w:val="1"/>
        </w:numPr>
      </w:pPr>
      <w:r>
        <w:t xml:space="preserve">Jeder Lauf in </w:t>
      </w:r>
      <w:r>
        <w:rPr>
          <w:rFonts w:ascii="Courier New" w:hAnsi="Courier New" w:cs="Courier New"/>
        </w:rPr>
        <w:t xml:space="preserve">analysis_runs</w:t>
      </w:r>
      <w:r>
        <w:t xml:space="preserve"> speichert diesen </w:t>
      </w:r>
      <w:r>
        <w:rPr>
          <w:rFonts w:ascii="Courier New" w:hAnsi="Courier New" w:cs="Courier New"/>
        </w:rPr>
        <w:t xml:space="preserve">data_hash</w:t>
      </w:r>
      <w:r>
        <w:t xml:space="preserve">. Sobald eine Effektgröße nachträglich geändert, gelöscht oder ergänzt wird, ändert sich der aktuelle Projektdaten-Hash, und EvidenzWerk kennzeichnet ältere gespeicherte Analyseläufe im UI und im Export sofort als </w:t>
      </w:r>
      <w:r>
        <w:rPr>
          <w:b/>
        </w:rPr>
        <w:t xml:space="preserve">„veraltet gegenüber aktuellem Kodierstand“</w:t>
      </w:r>
      <w:r>
        <w:t xml:space="preserve"> (</w:t>
      </w:r>
      <w:r>
        <w:rPr>
          <w:rFonts w:ascii="Courier New" w:hAnsi="Courier New" w:cs="Courier New"/>
        </w:rPr>
        <w:t xml:space="preserve">lib/vergleichsbasis.ts</w:t>
      </w:r>
      <w:r>
        <w:t xml:space="preserve">).</w:t>
      </w:r>
    </w:p>
    <w:p>
      <w:pPr>
        <w:pBdr>
          <w:bottom w:val="single" w:sz="6" w:space="1" w:color="B4B4B4"/>
        </w:pBdr>
      </w:pPr>
    </w:p>
    <w:p>
      <w:pPr>
        <w:pStyle w:val="Ueberschrift3"/>
      </w:pPr>
      <w:r>
        <w:t xml:space="preserve">12. OpenAPI 3.1 (</w:t>
      </w:r>
      <w:r>
        <w:rPr>
          <w:rFonts w:ascii="Courier New" w:hAnsi="Courier New" w:cs="Courier New"/>
        </w:rPr>
        <w:t xml:space="preserve">v1</w:t>
      </w:r>
      <w:r>
        <w:t xml:space="preserve">-API), Idempotenz, Dry-Run &amp; Akteurs-Audit</w:t>
      </w:r>
    </w:p>
    <w:p>
      <w:r>
        <w:t xml:space="preserve">Unter </w:t>
      </w:r>
      <w:r>
        <w:rPr>
          <w:rFonts w:ascii="Courier New" w:hAnsi="Courier New" w:cs="Courier New"/>
        </w:rPr>
        <w:t xml:space="preserve">/api/v1/openapi.json</w:t>
      </w:r>
      <w:r>
        <w:t xml:space="preserve"> (</w:t>
      </w:r>
      <w:r>
        <w:rPr>
          <w:rFonts w:ascii="Courier New" w:hAnsi="Courier New" w:cs="Courier New"/>
        </w:rPr>
        <w:t xml:space="preserve">lib/v1/openapi.ts</w:t>
      </w:r>
      <w:r>
        <w:t xml:space="preserve">) stellt EvidenzWerk eine vollständige </w:t>
      </w:r>
      <w:r>
        <w:rPr>
          <w:b/>
        </w:rPr>
        <w:t xml:space="preserve">OpenAPI-3.1-Spezifikation</w:t>
      </w:r>
      <w:r>
        <w:t xml:space="preserve"> für externe KI-Agenten, R/Python-Pipelines und CI-Workflows bereit.</w:t>
      </w:r>
    </w:p>
    <w:p>
      <w:pPr>
        <w:pStyle w:val="Ueberschrift4"/>
      </w:pPr>
      <w:r>
        <w:t xml:space="preserve">12.1 Authentifizierung &amp; Akteurs-Kennzeichnung (</w:t>
      </w:r>
      <w:r>
        <w:rPr>
          <w:rFonts w:ascii="Courier New" w:hAnsi="Courier New" w:cs="Courier New"/>
        </w:rPr>
        <w:t xml:space="preserve">actor</w:t>
      </w:r>
      <w:r>
        <w:t xml:space="preserve">)</w:t>
      </w:r>
    </w:p>
    <w:p>
      <w:pPr>
        <w:numPr>
          <w:ilvl w:val="0"/>
          <w:numId w:val="1"/>
        </w:numPr>
      </w:pPr>
      <w:r>
        <w:rPr>
          <w:b/>
        </w:rPr>
        <w:t xml:space="preserve">Session-Cookie (</w:t>
      </w:r>
      <w:r>
        <w:rPr>
          <w:rFonts w:ascii="Courier New" w:hAnsi="Courier New" w:cs="Courier New"/>
        </w:rPr>
        <w:t xml:space="preserve">evw_session</w:t>
      </w:r>
      <w:r>
        <w:rPr>
          <w:b/>
        </w:rPr>
        <w:t xml:space="preserve">)</w:t>
      </w:r>
      <w:r>
        <w:t xml:space="preserve"> für Browser-Aufrufe arrow Akteur wird automatisch als </w:t>
      </w:r>
      <w:r>
        <w:rPr>
          <w:rFonts w:ascii="Courier New" w:hAnsi="Courier New" w:cs="Courier New"/>
        </w:rPr>
        <w:t xml:space="preserve">human:&lt;email-prefix&gt;</w:t>
      </w:r>
      <w:r>
        <w:t xml:space="preserve"> gestempelt.</w:t>
      </w:r>
    </w:p>
    <w:p>
      <w:pPr>
        <w:numPr>
          <w:ilvl w:val="0"/>
          <w:numId w:val="1"/>
        </w:numPr>
      </w:pPr>
      <w:r>
        <w:rPr>
          <w:b/>
        </w:rPr>
        <w:t xml:space="preserve">Bearer-Token (</w:t>
      </w:r>
      <w:r>
        <w:rPr>
          <w:rFonts w:ascii="Courier New" w:hAnsi="Courier New" w:cs="Courier New"/>
        </w:rPr>
        <w:t xml:space="preserve">Authorization: Bearer evw_...</w:t>
      </w:r>
      <w:r>
        <w:rPr>
          <w:b/>
        </w:rPr>
        <w:t xml:space="preserve">)</w:t>
      </w:r>
      <w:r>
        <w:t xml:space="preserve"> oder Header </w:t>
      </w:r>
      <w:r>
        <w:rPr>
          <w:rFonts w:ascii="Courier New" w:hAnsi="Courier New" w:cs="Courier New"/>
        </w:rPr>
        <w:t xml:space="preserve">X-Agent-Actor: &lt;name&gt;</w:t>
      </w:r>
      <w:r>
        <w:t xml:space="preserve"> arrow Akteur wird als </w:t>
      </w:r>
      <w:r>
        <w:rPr>
          <w:rFonts w:ascii="Courier New" w:hAnsi="Courier New" w:cs="Courier New"/>
        </w:rPr>
        <w:t xml:space="preserve">agent:&lt;token-name&gt;</w:t>
      </w:r>
      <w:r>
        <w:t xml:space="preserve"> gestempelt und löst an den vier methodischen Weichen automatisch Ratifikations-Einträge aus.</w:t>
      </w:r>
    </w:p>
    <w:p>
      <w:pPr>
        <w:pStyle w:val="Ueberschrift4"/>
      </w:pPr>
      <w:r>
        <w:t xml:space="preserve">12.2 Transaktionale Garantien für Agenten (</w:t>
      </w:r>
      <w:r>
        <w:rPr>
          <w:rFonts w:ascii="Courier New" w:hAnsi="Courier New" w:cs="Courier New"/>
        </w:rPr>
        <w:t xml:space="preserve">?dry_run=true</w:t>
      </w:r>
      <w:r>
        <w:t xml:space="preserve"> &amp; </w:t>
      </w:r>
      <w:r>
        <w:rPr>
          <w:rFonts w:ascii="Courier New" w:hAnsi="Courier New" w:cs="Courier New"/>
        </w:rPr>
        <w:t xml:space="preserve">Idempotency-Key</w:t>
      </w:r>
      <w:r>
        <w:t xml:space="preserve">)</w:t>
      </w:r>
    </w:p>
    <w:p>
      <w:pPr>
        <w:numPr>
          <w:ilvl w:val="0"/>
          <w:numId w:val="1"/>
        </w:numPr>
      </w:pPr>
      <w:r>
        <w:rPr>
          <w:b/>
        </w:rPr>
        <w:t xml:space="preserve">Dry-Run-Modus (</w:t>
      </w:r>
      <w:r>
        <w:rPr>
          <w:rFonts w:ascii="Courier New" w:hAnsi="Courier New" w:cs="Courier New"/>
        </w:rPr>
        <w:t xml:space="preserve">?dry_run=true</w:t>
      </w:r>
      <w:r>
        <w:rPr>
          <w:b/>
        </w:rPr>
        <w:t xml:space="preserve">):</w:t>
      </w:r>
      <w:r>
        <w:t xml:space="preserve"> Jede mutierende </w:t>
      </w:r>
      <w:r>
        <w:rPr>
          <w:rFonts w:ascii="Courier New" w:hAnsi="Courier New" w:cs="Courier New"/>
        </w:rPr>
        <w:t xml:space="preserve">POST</w:t>
      </w:r>
      <w:r>
        <w:t xml:space="preserve">/</w:t>
      </w:r>
      <w:r>
        <w:rPr>
          <w:rFonts w:ascii="Courier New" w:hAnsi="Courier New" w:cs="Courier New"/>
        </w:rPr>
        <w:t xml:space="preserve">PUT</w:t>
      </w:r>
      <w:r>
        <w:t xml:space="preserve">/</w:t>
      </w:r>
      <w:r>
        <w:rPr>
          <w:rFonts w:ascii="Courier New" w:hAnsi="Courier New" w:cs="Courier New"/>
        </w:rPr>
        <w:t xml:space="preserve">PATCH</w:t>
      </w:r>
      <w:r>
        <w:t xml:space="preserve">/</w:t>
      </w:r>
      <w:r>
        <w:rPr>
          <w:rFonts w:ascii="Courier New" w:hAnsi="Courier New" w:cs="Courier New"/>
        </w:rPr>
        <w:t xml:space="preserve">DELETE</w:t>
      </w:r>
      <w:r>
        <w:t xml:space="preserve">-Route unter </w:t>
      </w:r>
      <w:r>
        <w:rPr>
          <w:rFonts w:ascii="Courier New" w:hAnsi="Courier New" w:cs="Courier New"/>
        </w:rPr>
        <w:t xml:space="preserve">/api/v1/*</w:t>
      </w:r>
      <w:r>
        <w:t xml:space="preserve"> unterstützt den Query-Parameter </w:t>
      </w:r>
      <w:r>
        <w:rPr>
          <w:rFonts w:ascii="Courier New" w:hAnsi="Courier New" w:cs="Courier New"/>
        </w:rPr>
        <w:t xml:space="preserve">?dry_run=true</w:t>
      </w:r>
      <w:r>
        <w:t xml:space="preserve">. Dabei führt </w:t>
      </w:r>
      <w:r>
        <w:rPr>
          <w:rFonts w:ascii="Courier New" w:hAnsi="Courier New" w:cs="Courier New"/>
        </w:rPr>
        <w:t xml:space="preserve">withDryRun</w:t>
      </w:r>
      <w:r>
        <w:t xml:space="preserve"> die echte Datenbankoperation innerhalb eines </w:t>
      </w:r>
      <w:r>
        <w:rPr>
          <w:rFonts w:ascii="Courier New" w:hAnsi="Courier New" w:cs="Courier New"/>
        </w:rPr>
        <w:t xml:space="preserve">SAVEPOINT dry_run</w:t>
      </w:r>
      <w:r>
        <w:t xml:space="preserve"> aus, berechnet das reale Ergebnis (inklusive Validierung, Effektberechnung und Folgezustand), rollt den Savepoint danach vollständig zurück (</w:t>
      </w:r>
      <w:r>
        <w:rPr>
          <w:rFonts w:ascii="Courier New" w:hAnsi="Courier New" w:cs="Courier New"/>
        </w:rPr>
        <w:t xml:space="preserve">ROLLBACK TO SAVEPOINT dry_run</w:t>
      </w:r>
      <w:r>
        <w:t xml:space="preserve">) und liefert das Ergebnis mit </w:t>
      </w:r>
      <w:r>
        <w:rPr>
          <w:rFonts w:ascii="Courier New" w:hAnsi="Courier New" w:cs="Courier New"/>
        </w:rPr>
        <w:t xml:space="preserve">"dry_run": true</w:t>
      </w:r>
      <w:r>
        <w:t xml:space="preserve"> aus.</w:t>
      </w:r>
    </w:p>
    <w:p>
      <w:pPr>
        <w:numPr>
          <w:ilvl w:val="0"/>
          <w:numId w:val="1"/>
        </w:numPr>
      </w:pPr>
      <w:r>
        <w:rPr>
          <w:b/>
        </w:rPr>
        <w:t xml:space="preserve">Idempotenz (</w:t>
      </w:r>
      <w:r>
        <w:rPr>
          <w:rFonts w:ascii="Courier New" w:hAnsi="Courier New" w:cs="Courier New"/>
        </w:rPr>
        <w:t xml:space="preserve">Idempotency-Key</w:t>
      </w:r>
      <w:r>
        <w:rPr>
          <w:b/>
        </w:rPr>
        <w:t xml:space="preserve">):</w:t>
      </w:r>
      <w:r>
        <w:t xml:space="preserve"> Übergibt ein Client den Header </w:t>
      </w:r>
      <w:r>
        <w:rPr>
          <w:rFonts w:ascii="Courier New" w:hAnsi="Courier New" w:cs="Courier New"/>
        </w:rPr>
        <w:t xml:space="preserve">Idempotency-Key: &lt;uuid&gt;</w:t>
      </w:r>
      <w:r>
        <w:t xml:space="preserve">, speichert </w:t>
      </w:r>
      <w:r>
        <w:rPr>
          <w:rFonts w:ascii="Courier New" w:hAnsi="Courier New" w:cs="Courier New"/>
        </w:rPr>
        <w:t xml:space="preserve">lib/v1/idempotency.ts</w:t>
      </w:r>
      <w:r>
        <w:t xml:space="preserve"> Statuscode und Antwort-JSON gebunden an </w:t>
      </w:r>
      <w:r>
        <w:rPr>
          <w:rFonts w:ascii="Courier New" w:hAnsi="Courier New" w:cs="Courier New"/>
        </w:rPr>
        <w:t xml:space="preserve">(key, actor, method, path)</w:t>
      </w:r>
      <w:r>
        <w:t xml:space="preserve"> und </w:t>
      </w:r>
      <w:r>
        <w:rPr>
          <w:rFonts w:ascii="Courier New" w:hAnsi="Courier New" w:cs="Courier New"/>
        </w:rPr>
        <w:t xml:space="preserve">request_hash</w:t>
      </w:r>
      <w:r>
        <w:t xml:space="preserve">. Wiederholte Netzwerk-Retries liefern exakt dieselbe Antwort ohne doppelte Datensätze; ein abweichender Payload unter demselben Key wird mit </w:t>
      </w:r>
      <w:r>
        <w:rPr>
          <w:rFonts w:ascii="Courier New" w:hAnsi="Courier New" w:cs="Courier New"/>
        </w:rPr>
        <w:t xml:space="preserve">409 Conflict (IDEMPOTENCY_KEY_REUSED_DIFFERENT_BODY)</w:t>
      </w:r>
      <w:r>
        <w:t xml:space="preserve"> abgewiesen.</w:t>
      </w:r>
    </w:p>
    <w:p>
      <w:pPr>
        <w:pBdr>
          <w:bottom w:val="single" w:sz="6" w:space="1" w:color="B4B4B4"/>
        </w:pBdr>
      </w:pPr>
    </w:p>
    <w:p>
      <w:pPr>
        <w:pStyle w:val="Ueberschrift3"/>
      </w:pPr>
      <w:r>
        <w:t xml:space="preserve">13. Verzeichnisstruktur des Quellcodes</w:t>
      </w:r>
    </w:p>
    <w:tbl>
      <w:tblPr>
        <w:tblW w:w="9070" w:type="dxa"/>
        <w:tblLayout w:type="fixed"/>
        <w:tblBorders>
          <w:top w:val="single" w:sz="4" w:space="0" w:color="B4B4B4"/>
          <w:left w:val="single" w:sz="4" w:space="0" w:color="B4B4B4"/>
          <w:bottom w:val="single" w:sz="4" w:space="0" w:color="B4B4B4"/>
          <w:right w:val="single" w:sz="4" w:space="0" w:color="B4B4B4"/>
          <w:insideH w:val="single" w:sz="4" w:space="0" w:color="B4B4B4"/>
          <w:insideV w:val="single" w:sz="4" w:space="0" w:color="B4B4B4"/>
        </w:tblBorders>
      </w:tblPr>
      <w:tblGrid>
        <w:gridCol w:w="4535"/>
        <w:gridCol w:w="4535"/>
      </w:tblGrid>
      <w:tr>
        <w:trPr>
          <w:tblHeader/>
          <w:cantSplit/>
        </w:trPr>
        <w:tc>
          <w:tcPr>
            <w:tcW w:w="4535"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Pfad</w:t>
            </w:r>
          </w:p>
        </w:tc>
        <w:tc>
          <w:tcPr>
            <w:tcW w:w="4535" w:type="dxa"/>
            <w:shd w:val="clear" w:color="auto" w:fill="EFEFEF"/>
            <w:tcMar>
              <w:top w:w="60" w:type="dxa"/>
              <w:left w:w="80" w:type="dxa"/>
              <w:bottom w:w="60" w:type="dxa"/>
              <w:right w:w="80" w:type="dxa"/>
            </w:tcMar>
          </w:tcPr>
          <w:p>
            <w:pPr>
              <w:suppressLineNumbers/>
              <w:spacing w:before="20" w:after="20" w:line="240" w:lineRule="auto"/>
            </w:pPr>
            <w:r>
              <w:rPr>
                <w:b/>
                <w:sz w:val="18"/>
                <w:szCs w:val="18"/>
              </w:rPr>
              <w:t xml:space="preserve">Aufgabe &amp; wichtigste Module</w:t>
            </w:r>
          </w:p>
        </w:tc>
      </w:tr>
      <w:tr>
        <w:trPr>
          <w:cantSplit/>
        </w:trPr>
        <w:tc>
          <w:tcPr>
            <w:tcW w:w="4535" w:type="dxa"/>
            <w:tcMar>
              <w:top w:w="60" w:type="dxa"/>
              <w:left w:w="80" w:type="dxa"/>
              <w:bottom w:w="60" w:type="dxa"/>
              <w:right w:w="80" w:type="dxa"/>
            </w:tcMar>
          </w:tcPr>
          <w:p>
            <w:pPr>
              <w:suppressLineNumbers/>
              <w:spacing w:before="20" w:after="20" w:line="240" w:lineRule="auto"/>
            </w:pPr>
            <w:r>
              <w:rPr>
                <w:sz w:val="18"/>
                <w:szCs w:val="18"/>
              </w:rPr>
              <w:t xml:space="preserve">[</w:t>
            </w:r>
            <w:r>
              <w:rPr>
                <w:rFonts w:ascii="Courier New" w:hAnsi="Courier New" w:cs="Courier New"/>
                <w:sz w:val="18"/>
                <w:szCs w:val="18"/>
              </w:rPr>
              <w:t xml:space="preserve">app/p/[id]/page.tsx</w:t>
            </w:r>
            <w:r>
              <w:rPr>
                <w:sz w:val="18"/>
                <w:szCs w:val="18"/>
              </w:rPr>
              <w:t xml:space="preserve">](file:///Users/franzhuetter/evidenzwerk/app/p/%5Bid%5D/page.tsx)</w:t>
            </w:r>
          </w:p>
        </w:tc>
        <w:tc>
          <w:tcPr>
            <w:tcW w:w="4535" w:type="dxa"/>
            <w:tcMar>
              <w:top w:w="60" w:type="dxa"/>
              <w:left w:w="80" w:type="dxa"/>
              <w:bottom w:w="60" w:type="dxa"/>
              <w:right w:w="80" w:type="dxa"/>
            </w:tcMar>
          </w:tcPr>
          <w:p>
            <w:pPr>
              <w:suppressLineNumbers/>
              <w:spacing w:before="20" w:after="20" w:line="240" w:lineRule="auto"/>
            </w:pPr>
            <w:r>
              <w:rPr>
                <w:sz w:val="18"/>
                <w:szCs w:val="18"/>
              </w:rPr>
              <w:t xml:space="preserve">Zentrale Arbeitsfläche eines Projekts mit allen 11 Reitern (</w:t>
            </w:r>
            <w:r>
              <w:rPr>
                <w:rFonts w:ascii="Courier New" w:hAnsi="Courier New" w:cs="Courier New"/>
                <w:sz w:val="18"/>
                <w:szCs w:val="18"/>
              </w:rPr>
              <w:t xml:space="preserve">protokoll</w:t>
            </w:r>
            <w:r>
              <w:rPr>
                <w:sz w:val="18"/>
                <w:szCs w:val="18"/>
              </w:rPr>
              <w:t xml:space="preserve">, </w:t>
            </w:r>
            <w:r>
              <w:rPr>
                <w:rFonts w:ascii="Courier New" w:hAnsi="Courier New" w:cs="Courier New"/>
                <w:sz w:val="18"/>
                <w:szCs w:val="18"/>
              </w:rPr>
              <w:t xml:space="preserve">recherche</w:t>
            </w:r>
            <w:r>
              <w:rPr>
                <w:sz w:val="18"/>
                <w:szCs w:val="18"/>
              </w:rPr>
              <w:t xml:space="preserve">, </w:t>
            </w:r>
            <w:r>
              <w:rPr>
                <w:rFonts w:ascii="Courier New" w:hAnsi="Courier New" w:cs="Courier New"/>
                <w:sz w:val="18"/>
                <w:szCs w:val="18"/>
              </w:rPr>
              <w:t xml:space="preserve">literatur</w:t>
            </w:r>
            <w:r>
              <w:rPr>
                <w:sz w:val="18"/>
                <w:szCs w:val="18"/>
              </w:rPr>
              <w:t xml:space="preserve">, </w:t>
            </w:r>
            <w:r>
              <w:rPr>
                <w:rFonts w:ascii="Courier New" w:hAnsi="Courier New" w:cs="Courier New"/>
                <w:sz w:val="18"/>
                <w:szCs w:val="18"/>
              </w:rPr>
              <w:t xml:space="preserve">screening</w:t>
            </w:r>
            <w:r>
              <w:rPr>
                <w:sz w:val="18"/>
                <w:szCs w:val="18"/>
              </w:rPr>
              <w:t xml:space="preserve">, </w:t>
            </w:r>
            <w:r>
              <w:rPr>
                <w:rFonts w:ascii="Courier New" w:hAnsi="Courier New" w:cs="Courier New"/>
                <w:sz w:val="18"/>
                <w:szCs w:val="18"/>
              </w:rPr>
              <w:t xml:space="preserve">extraktion</w:t>
            </w:r>
            <w:r>
              <w:rPr>
                <w:sz w:val="18"/>
                <w:szCs w:val="18"/>
              </w:rPr>
              <w:t xml:space="preserve">, </w:t>
            </w:r>
            <w:r>
              <w:rPr>
                <w:rFonts w:ascii="Courier New" w:hAnsi="Courier New" w:cs="Courier New"/>
                <w:sz w:val="18"/>
                <w:szCs w:val="18"/>
              </w:rPr>
              <w:t xml:space="preserve">coding</w:t>
            </w:r>
            <w:r>
              <w:rPr>
                <w:sz w:val="18"/>
                <w:szCs w:val="18"/>
              </w:rPr>
              <w:t xml:space="preserve">, </w:t>
            </w:r>
            <w:r>
              <w:rPr>
                <w:rFonts w:ascii="Courier New" w:hAnsi="Courier New" w:cs="Courier New"/>
                <w:sz w:val="18"/>
                <w:szCs w:val="18"/>
              </w:rPr>
              <w:t xml:space="preserve">analyse</w:t>
            </w:r>
            <w:r>
              <w:rPr>
                <w:sz w:val="18"/>
                <w:szCs w:val="18"/>
              </w:rPr>
              <w:t xml:space="preserve">, </w:t>
            </w:r>
            <w:r>
              <w:rPr>
                <w:rFonts w:ascii="Courier New" w:hAnsi="Courier New" w:cs="Courier New"/>
                <w:sz w:val="18"/>
                <w:szCs w:val="18"/>
              </w:rPr>
              <w:t xml:space="preserve">berechnungen</w:t>
            </w:r>
            <w:r>
              <w:rPr>
                <w:sz w:val="18"/>
                <w:szCs w:val="18"/>
              </w:rPr>
              <w:t xml:space="preserve">, </w:t>
            </w:r>
            <w:r>
              <w:rPr>
                <w:rFonts w:ascii="Courier New" w:hAnsi="Courier New" w:cs="Courier New"/>
                <w:sz w:val="18"/>
                <w:szCs w:val="18"/>
              </w:rPr>
              <w:t xml:space="preserve">ratifikation</w:t>
            </w:r>
            <w:r>
              <w:rPr>
                <w:sz w:val="18"/>
                <w:szCs w:val="18"/>
              </w:rPr>
              <w:t xml:space="preserve">, </w:t>
            </w:r>
            <w:r>
              <w:rPr>
                <w:rFonts w:ascii="Courier New" w:hAnsi="Courier New" w:cs="Courier New"/>
                <w:sz w:val="18"/>
                <w:szCs w:val="18"/>
              </w:rPr>
              <w:t xml:space="preserve">report</w:t>
            </w:r>
            <w:r>
              <w:rPr>
                <w:sz w:val="18"/>
                <w:szCs w:val="18"/>
              </w:rPr>
              <w:t xml:space="preserve">, </w:t>
            </w:r>
            <w:r>
              <w:rPr>
                <w:rFonts w:ascii="Courier New" w:hAnsi="Courier New" w:cs="Courier New"/>
                <w:sz w:val="18"/>
                <w:szCs w:val="18"/>
              </w:rPr>
              <w:t xml:space="preserve">updates</w:t>
            </w:r>
            <w:r>
              <w:rPr>
                <w:sz w:val="18"/>
                <w:szCs w:val="18"/>
              </w:rPr>
              <w:t xml:space="preserve">).</w:t>
            </w:r>
          </w:p>
        </w:tc>
      </w:tr>
      <w:tr>
        <w:trPr>
          <w:cantSplit/>
        </w:trPr>
        <w:tc>
          <w:tcPr>
            <w:tcW w:w="4535"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app/api/v1/</w:t>
            </w:r>
          </w:p>
        </w:tc>
        <w:tc>
          <w:tcPr>
            <w:tcW w:w="4535" w:type="dxa"/>
            <w:tcMar>
              <w:top w:w="60" w:type="dxa"/>
              <w:left w:w="80" w:type="dxa"/>
              <w:bottom w:w="60" w:type="dxa"/>
              <w:right w:w="80" w:type="dxa"/>
            </w:tcMar>
          </w:tcPr>
          <w:p>
            <w:pPr>
              <w:suppressLineNumbers/>
              <w:spacing w:before="20" w:after="20" w:line="240" w:lineRule="auto"/>
            </w:pPr>
            <w:r>
              <w:rPr>
                <w:sz w:val="18"/>
                <w:szCs w:val="18"/>
              </w:rPr>
              <w:t xml:space="preserve">46 versionierte REST-Endpunkte mit OpenAPI-3.1-Spezifikation, Idempotenz, Dry-Run und standardisiertem Fehlerformat.</w:t>
            </w:r>
          </w:p>
        </w:tc>
      </w:tr>
      <w:tr>
        <w:trPr>
          <w:cantSplit/>
        </w:trPr>
        <w:tc>
          <w:tcPr>
            <w:tcW w:w="4535"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components/</w:t>
            </w:r>
          </w:p>
        </w:tc>
        <w:tc>
          <w:tcPr>
            <w:tcW w:w="4535" w:type="dxa"/>
            <w:tcMar>
              <w:top w:w="60" w:type="dxa"/>
              <w:left w:w="80" w:type="dxa"/>
              <w:bottom w:w="60" w:type="dxa"/>
              <w:right w:w="80" w:type="dxa"/>
            </w:tcMar>
          </w:tcPr>
          <w:p>
            <w:pPr>
              <w:suppressLineNumbers/>
              <w:spacing w:before="20" w:after="20" w:line="240" w:lineRule="auto"/>
            </w:pPr>
            <w:r>
              <w:rPr>
                <w:sz w:val="18"/>
                <w:szCs w:val="18"/>
              </w:rPr>
              <w:t xml:space="preserve">28 React-Komponenten, darunter </w:t>
            </w:r>
            <w:r>
              <w:rPr>
                <w:rFonts w:ascii="Courier New" w:hAnsi="Courier New" w:cs="Courier New"/>
                <w:sz w:val="18"/>
                <w:szCs w:val="18"/>
              </w:rPr>
              <w:t xml:space="preserve">CodingForm.tsx</w:t>
            </w:r>
            <w:r>
              <w:rPr>
                <w:sz w:val="18"/>
                <w:szCs w:val="18"/>
              </w:rPr>
              <w:t xml:space="preserve">, </w:t>
            </w:r>
            <w:r>
              <w:rPr>
                <w:rFonts w:ascii="Courier New" w:hAnsi="Courier New" w:cs="Courier New"/>
                <w:sz w:val="18"/>
                <w:szCs w:val="18"/>
              </w:rPr>
              <w:t xml:space="preserve">AnalysisPanel.tsx</w:t>
            </w:r>
            <w:r>
              <w:rPr>
                <w:sz w:val="18"/>
                <w:szCs w:val="18"/>
              </w:rPr>
              <w:t xml:space="preserve">, </w:t>
            </w:r>
            <w:r>
              <w:rPr>
                <w:rFonts w:ascii="Courier New" w:hAnsi="Courier New" w:cs="Courier New"/>
                <w:sz w:val="18"/>
                <w:szCs w:val="18"/>
              </w:rPr>
              <w:t xml:space="preserve">AdvancedAnalysisPanel.tsx</w:t>
            </w:r>
            <w:r>
              <w:rPr>
                <w:sz w:val="18"/>
                <w:szCs w:val="18"/>
              </w:rPr>
              <w:t xml:space="preserve">, </w:t>
            </w:r>
            <w:r>
              <w:rPr>
                <w:rFonts w:ascii="Courier New" w:hAnsi="Courier New" w:cs="Courier New"/>
                <w:sz w:val="18"/>
                <w:szCs w:val="18"/>
              </w:rPr>
              <w:t xml:space="preserve">SpezialanalysePanel.tsx</w:t>
            </w:r>
            <w:r>
              <w:rPr>
                <w:sz w:val="18"/>
                <w:szCs w:val="18"/>
              </w:rPr>
              <w:t xml:space="preserve">, </w:t>
            </w:r>
            <w:r>
              <w:rPr>
                <w:rFonts w:ascii="Courier New" w:hAnsi="Courier New" w:cs="Courier New"/>
                <w:sz w:val="18"/>
                <w:szCs w:val="18"/>
              </w:rPr>
              <w:t xml:space="preserve">BerechnungenPanel.tsx</w:t>
            </w:r>
            <w:r>
              <w:rPr>
                <w:sz w:val="18"/>
                <w:szCs w:val="18"/>
              </w:rPr>
              <w:t xml:space="preserve">, </w:t>
            </w:r>
            <w:r>
              <w:rPr>
                <w:rFonts w:ascii="Courier New" w:hAnsi="Courier New" w:cs="Courier New"/>
                <w:sz w:val="18"/>
                <w:szCs w:val="18"/>
              </w:rPr>
              <w:t xml:space="preserve">GradePanel.tsx</w:t>
            </w:r>
            <w:r>
              <w:rPr>
                <w:sz w:val="18"/>
                <w:szCs w:val="18"/>
              </w:rPr>
              <w:t xml:space="preserve">, </w:t>
            </w:r>
            <w:r>
              <w:rPr>
                <w:rFonts w:ascii="Courier New" w:hAnsi="Courier New" w:cs="Courier New"/>
                <w:sz w:val="18"/>
                <w:szCs w:val="18"/>
              </w:rPr>
              <w:t xml:space="preserve">TeamPanel.tsx</w:t>
            </w:r>
            <w:r>
              <w:rPr>
                <w:sz w:val="18"/>
                <w:szCs w:val="18"/>
              </w:rPr>
              <w:t xml:space="preserve">.</w:t>
            </w:r>
          </w:p>
        </w:tc>
      </w:tr>
      <w:tr>
        <w:trPr>
          <w:cantSplit/>
        </w:trPr>
        <w:tc>
          <w:tcPr>
            <w:tcW w:w="4535"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lib/stats.ts</w:t>
            </w:r>
            <w:r>
              <w:rPr>
                <w:sz w:val="18"/>
                <w:szCs w:val="18"/>
              </w:rPr>
              <w:t xml:space="preserve"> &amp; </w:t>
            </w:r>
            <w:r>
              <w:rPr>
                <w:rFonts w:ascii="Courier New" w:hAnsi="Courier New" w:cs="Courier New"/>
                <w:sz w:val="18"/>
                <w:szCs w:val="18"/>
              </w:rPr>
              <w:t xml:space="preserve">lib/metrics.ts</w:t>
            </w:r>
          </w:p>
        </w:tc>
        <w:tc>
          <w:tcPr>
            <w:tcW w:w="4535" w:type="dxa"/>
            <w:tcMar>
              <w:top w:w="60" w:type="dxa"/>
              <w:left w:w="80" w:type="dxa"/>
              <w:bottom w:w="60" w:type="dxa"/>
              <w:right w:w="80" w:type="dxa"/>
            </w:tcMar>
          </w:tcPr>
          <w:p>
            <w:pPr>
              <w:suppressLineNumbers/>
              <w:spacing w:before="20" w:after="20" w:line="240" w:lineRule="auto"/>
            </w:pPr>
            <w:r>
              <w:rPr>
                <w:sz w:val="18"/>
                <w:szCs w:val="18"/>
              </w:rPr>
              <w:t xml:space="preserve">Mathematischer Kern für alle 10 Metriken (</w:t>
            </w:r>
            <w:r>
              <w:rPr>
                <w:rFonts w:ascii="Courier New" w:hAnsi="Courier New" w:cs="Courier New"/>
                <w:sz w:val="18"/>
                <w:szCs w:val="18"/>
              </w:rPr>
              <w:t xml:space="preserve">smd</w:t>
            </w:r>
            <w:r>
              <w:rPr>
                <w:sz w:val="18"/>
                <w:szCs w:val="18"/>
              </w:rPr>
              <w:t xml:space="preserve">, </w:t>
            </w:r>
            <w:r>
              <w:rPr>
                <w:rFonts w:ascii="Courier New" w:hAnsi="Courier New" w:cs="Courier New"/>
                <w:sz w:val="18"/>
                <w:szCs w:val="18"/>
              </w:rPr>
              <w:t xml:space="preserve">md</w:t>
            </w:r>
            <w:r>
              <w:rPr>
                <w:sz w:val="18"/>
                <w:szCs w:val="18"/>
              </w:rPr>
              <w:t xml:space="preserve">, </w:t>
            </w:r>
            <w:r>
              <w:rPr>
                <w:rFonts w:ascii="Courier New" w:hAnsi="Courier New" w:cs="Courier New"/>
                <w:sz w:val="18"/>
                <w:szCs w:val="18"/>
              </w:rPr>
              <w:t xml:space="preserve">r</w:t>
            </w:r>
            <w:r>
              <w:rPr>
                <w:sz w:val="18"/>
                <w:szCs w:val="18"/>
              </w:rPr>
              <w:t xml:space="preserve">, </w:t>
            </w:r>
            <w:r>
              <w:rPr>
                <w:rFonts w:ascii="Courier New" w:hAnsi="Courier New" w:cs="Courier New"/>
                <w:sz w:val="18"/>
                <w:szCs w:val="18"/>
              </w:rPr>
              <w:t xml:space="preserve">or</w:t>
            </w:r>
            <w:r>
              <w:rPr>
                <w:sz w:val="18"/>
                <w:szCs w:val="18"/>
              </w:rPr>
              <w:t xml:space="preserve">, </w:t>
            </w:r>
            <w:r>
              <w:rPr>
                <w:rFonts w:ascii="Courier New" w:hAnsi="Courier New" w:cs="Courier New"/>
                <w:sz w:val="18"/>
                <w:szCs w:val="18"/>
              </w:rPr>
              <w:t xml:space="preserve">rr</w:t>
            </w:r>
            <w:r>
              <w:rPr>
                <w:sz w:val="18"/>
                <w:szCs w:val="18"/>
              </w:rPr>
              <w:t xml:space="preserve">, </w:t>
            </w:r>
            <w:r>
              <w:rPr>
                <w:rFonts w:ascii="Courier New" w:hAnsi="Courier New" w:cs="Courier New"/>
                <w:sz w:val="18"/>
                <w:szCs w:val="18"/>
              </w:rPr>
              <w:t xml:space="preserve">rd</w:t>
            </w:r>
            <w:r>
              <w:rPr>
                <w:sz w:val="18"/>
                <w:szCs w:val="18"/>
              </w:rPr>
              <w:t xml:space="preserve">, </w:t>
            </w:r>
            <w:r>
              <w:rPr>
                <w:rFonts w:ascii="Courier New" w:hAnsi="Courier New" w:cs="Courier New"/>
                <w:sz w:val="18"/>
                <w:szCs w:val="18"/>
              </w:rPr>
              <w:t xml:space="preserve">irr</w:t>
            </w:r>
            <w:r>
              <w:rPr>
                <w:sz w:val="18"/>
                <w:szCs w:val="18"/>
              </w:rPr>
              <w:t xml:space="preserve">, </w:t>
            </w:r>
            <w:r>
              <w:rPr>
                <w:rFonts w:ascii="Courier New" w:hAnsi="Courier New" w:cs="Courier New"/>
                <w:sz w:val="18"/>
                <w:szCs w:val="18"/>
              </w:rPr>
              <w:t xml:space="preserve">prop_logit</w:t>
            </w:r>
            <w:r>
              <w:rPr>
                <w:sz w:val="18"/>
                <w:szCs w:val="18"/>
              </w:rPr>
              <w:t xml:space="preserve">, </w:t>
            </w:r>
            <w:r>
              <w:rPr>
                <w:rFonts w:ascii="Courier New" w:hAnsi="Courier New" w:cs="Courier New"/>
                <w:sz w:val="18"/>
                <w:szCs w:val="18"/>
              </w:rPr>
              <w:t xml:space="preserve">prop_ft</w:t>
            </w:r>
            <w:r>
              <w:rPr>
                <w:sz w:val="18"/>
                <w:szCs w:val="18"/>
              </w:rPr>
              <w:t xml:space="preserve">, </w:t>
            </w:r>
            <w:r>
              <w:rPr>
                <w:rFonts w:ascii="Courier New" w:hAnsi="Courier New" w:cs="Courier New"/>
                <w:sz w:val="18"/>
                <w:szCs w:val="18"/>
              </w:rPr>
              <w:t xml:space="preserve">hr</w:t>
            </w:r>
            <w:r>
              <w:rPr>
                <w:sz w:val="18"/>
                <w:szCs w:val="18"/>
              </w:rPr>
              <w:t xml:space="preserve">), Poolung (FE, DL, REML + Knapp-Hartung), Moderatoren und Sensitivitätsanalysen.</w:t>
            </w:r>
          </w:p>
        </w:tc>
      </w:tr>
      <w:tr>
        <w:trPr>
          <w:cantSplit/>
        </w:trPr>
        <w:tc>
          <w:tcPr>
            <w:tcW w:w="4535"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lib/survival.ts</w:t>
            </w:r>
          </w:p>
        </w:tc>
        <w:tc>
          <w:tcPr>
            <w:tcW w:w="4535" w:type="dxa"/>
            <w:tcMar>
              <w:top w:w="60" w:type="dxa"/>
              <w:left w:w="80" w:type="dxa"/>
              <w:bottom w:w="60" w:type="dxa"/>
              <w:right w:w="80" w:type="dxa"/>
            </w:tcMar>
          </w:tcPr>
          <w:p>
            <w:pPr>
              <w:suppressLineNumbers/>
              <w:spacing w:before="20" w:after="20" w:line="240" w:lineRule="auto"/>
            </w:pPr>
            <w:r>
              <w:rPr>
                <w:sz w:val="18"/>
                <w:szCs w:val="18"/>
              </w:rPr>
              <w:t xml:space="preserve">Klinische Überlebenszeitanalyse: Alle 5 Tierney-Wege (2007) inkl. Kaplan-Meier-Kurvenrekonstruktion.</w:t>
            </w:r>
          </w:p>
        </w:tc>
      </w:tr>
      <w:tr>
        <w:trPr>
          <w:cantSplit/>
        </w:trPr>
        <w:tc>
          <w:tcPr>
            <w:tcW w:w="4535"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lib/nma.ts</w:t>
            </w:r>
            <w:r>
              <w:rPr>
                <w:sz w:val="18"/>
                <w:szCs w:val="18"/>
              </w:rPr>
              <w:t xml:space="preserve"> &amp; </w:t>
            </w:r>
            <w:r>
              <w:rPr>
                <w:rFonts w:ascii="Courier New" w:hAnsi="Courier New" w:cs="Courier New"/>
                <w:sz w:val="18"/>
                <w:szCs w:val="18"/>
              </w:rPr>
              <w:t xml:space="preserve">lib/dta.ts</w:t>
            </w:r>
          </w:p>
        </w:tc>
        <w:tc>
          <w:tcPr>
            <w:tcW w:w="4535" w:type="dxa"/>
            <w:tcMar>
              <w:top w:w="60" w:type="dxa"/>
              <w:left w:w="80" w:type="dxa"/>
              <w:bottom w:w="60" w:type="dxa"/>
              <w:right w:w="80" w:type="dxa"/>
            </w:tcMar>
          </w:tcPr>
          <w:p>
            <w:pPr>
              <w:suppressLineNumbers/>
              <w:spacing w:before="20" w:after="20" w:line="240" w:lineRule="auto"/>
            </w:pPr>
            <w:r>
              <w:rPr>
                <w:sz w:val="18"/>
                <w:szCs w:val="18"/>
              </w:rPr>
              <w:t xml:space="preserve">Frequentistische Netzwerk-Meta-Analyse (Rücker 2012, League-Table, P-Scores) und bivariate Diagnostische Testgüte-Synthese (Reitsma 2005 / HSROC, SROC-Ellipse, QUADAS-2).</w:t>
            </w:r>
          </w:p>
        </w:tc>
      </w:tr>
      <w:tr>
        <w:trPr>
          <w:cantSplit/>
        </w:trPr>
        <w:tc>
          <w:tcPr>
            <w:tcW w:w="4535"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lib/rob2-shared.ts</w:t>
            </w:r>
            <w:r>
              <w:rPr>
                <w:sz w:val="18"/>
                <w:szCs w:val="18"/>
              </w:rPr>
              <w:t xml:space="preserve">, </w:t>
            </w:r>
            <w:r>
              <w:rPr>
                <w:rFonts w:ascii="Courier New" w:hAnsi="Courier New" w:cs="Courier New"/>
                <w:sz w:val="18"/>
                <w:szCs w:val="18"/>
              </w:rPr>
              <w:t xml:space="preserve">lib/robins-i-shared.ts</w:t>
            </w:r>
            <w:r>
              <w:rPr>
                <w:sz w:val="18"/>
                <w:szCs w:val="18"/>
              </w:rPr>
              <w:t xml:space="preserve">, </w:t>
            </w:r>
            <w:r>
              <w:rPr>
                <w:rFonts w:ascii="Courier New" w:hAnsi="Courier New" w:cs="Courier New"/>
                <w:sz w:val="18"/>
                <w:szCs w:val="18"/>
              </w:rPr>
              <w:t xml:space="preserve">lib/grade.ts</w:t>
            </w:r>
          </w:p>
        </w:tc>
        <w:tc>
          <w:tcPr>
            <w:tcW w:w="4535" w:type="dxa"/>
            <w:tcMar>
              <w:top w:w="60" w:type="dxa"/>
              <w:left w:w="80" w:type="dxa"/>
              <w:bottom w:w="60" w:type="dxa"/>
              <w:right w:w="80" w:type="dxa"/>
            </w:tcMar>
          </w:tcPr>
          <w:p>
            <w:pPr>
              <w:suppressLineNumbers/>
              <w:spacing w:before="20" w:after="20" w:line="240" w:lineRule="auto"/>
            </w:pPr>
            <w:r>
              <w:rPr>
                <w:sz w:val="18"/>
                <w:szCs w:val="18"/>
              </w:rPr>
              <w:t xml:space="preserve">Regelwerke für RoB 2, ROBINS-I (mit Design-Weiche) und GRADE.</w:t>
            </w:r>
          </w:p>
        </w:tc>
      </w:tr>
      <w:tr>
        <w:trPr>
          <w:cantSplit/>
        </w:trPr>
        <w:tc>
          <w:tcPr>
            <w:tcW w:w="4535"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lib/spur.ts</w:t>
            </w:r>
            <w:r>
              <w:rPr>
                <w:sz w:val="18"/>
                <w:szCs w:val="18"/>
              </w:rPr>
              <w:t xml:space="preserve"> &amp; </w:t>
            </w:r>
            <w:r>
              <w:rPr>
                <w:rFonts w:ascii="Courier New" w:hAnsi="Courier New" w:cs="Courier New"/>
                <w:sz w:val="18"/>
                <w:szCs w:val="18"/>
              </w:rPr>
              <w:t xml:space="preserve">lib/rechenweg.ts</w:t>
            </w:r>
          </w:p>
        </w:tc>
        <w:tc>
          <w:tcPr>
            <w:tcW w:w="4535" w:type="dxa"/>
            <w:tcMar>
              <w:top w:w="60" w:type="dxa"/>
              <w:left w:w="80" w:type="dxa"/>
              <w:bottom w:w="60" w:type="dxa"/>
              <w:right w:w="80" w:type="dxa"/>
            </w:tcMar>
          </w:tcPr>
          <w:p>
            <w:pPr>
              <w:suppressLineNumbers/>
              <w:spacing w:before="20" w:after="20" w:line="240" w:lineRule="auto"/>
            </w:pPr>
            <w:r>
              <w:rPr>
                <w:sz w:val="18"/>
                <w:szCs w:val="18"/>
              </w:rPr>
              <w:t xml:space="preserve">Gläserne Rechnung: Schritt-für-Schritt-Protokollierung jeder Formel mit eingesetzten Projektwerten.</w:t>
            </w:r>
          </w:p>
        </w:tc>
      </w:tr>
      <w:tr>
        <w:trPr>
          <w:cantSplit/>
        </w:trPr>
        <w:tc>
          <w:tcPr>
            <w:tcW w:w="4535"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lib/docx.ts</w:t>
            </w:r>
            <w:r>
              <w:rPr>
                <w:sz w:val="18"/>
                <w:szCs w:val="18"/>
              </w:rPr>
              <w:t xml:space="preserve">, </w:t>
            </w:r>
            <w:r>
              <w:rPr>
                <w:rFonts w:ascii="Courier New" w:hAnsi="Courier New" w:cs="Courier New"/>
                <w:sz w:val="18"/>
                <w:szCs w:val="18"/>
              </w:rPr>
              <w:t xml:space="preserve">lib/pdf.ts</w:t>
            </w:r>
            <w:r>
              <w:rPr>
                <w:sz w:val="18"/>
                <w:szCs w:val="18"/>
              </w:rPr>
              <w:t xml:space="preserve">, </w:t>
            </w:r>
            <w:r>
              <w:rPr>
                <w:rFonts w:ascii="Courier New" w:hAnsi="Courier New" w:cs="Courier New"/>
                <w:sz w:val="18"/>
                <w:szCs w:val="18"/>
              </w:rPr>
              <w:t xml:space="preserve">lib/abbildungen.ts</w:t>
            </w:r>
            <w:r>
              <w:rPr>
                <w:sz w:val="18"/>
                <w:szCs w:val="18"/>
              </w:rPr>
              <w:t xml:space="preserve">, </w:t>
            </w:r>
            <w:r>
              <w:rPr>
                <w:rFonts w:ascii="Courier New" w:hAnsi="Courier New" w:cs="Courier New"/>
                <w:sz w:val="18"/>
                <w:szCs w:val="18"/>
              </w:rPr>
              <w:t xml:space="preserve">lib/paket.ts</w:t>
            </w:r>
          </w:p>
        </w:tc>
        <w:tc>
          <w:tcPr>
            <w:tcW w:w="4535" w:type="dxa"/>
            <w:tcMar>
              <w:top w:w="60" w:type="dxa"/>
              <w:left w:w="80" w:type="dxa"/>
              <w:bottom w:w="60" w:type="dxa"/>
              <w:right w:w="80" w:type="dxa"/>
            </w:tcMar>
          </w:tcPr>
          <w:p>
            <w:pPr>
              <w:suppressLineNumbers/>
              <w:spacing w:before="20" w:after="20" w:line="240" w:lineRule="auto"/>
            </w:pPr>
            <w:r>
              <w:rPr>
                <w:sz w:val="18"/>
                <w:szCs w:val="18"/>
              </w:rPr>
              <w:t xml:space="preserve">Eigene Dokument-, Grafik-, Poster- und ZIP-Einreichungspaket-Generatoren.</w:t>
            </w:r>
          </w:p>
        </w:tc>
      </w:tr>
      <w:tr>
        <w:trPr>
          <w:cantSplit/>
        </w:trPr>
        <w:tc>
          <w:tcPr>
            <w:tcW w:w="4535"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r/analyse.R</w:t>
            </w:r>
          </w:p>
        </w:tc>
        <w:tc>
          <w:tcPr>
            <w:tcW w:w="4535" w:type="dxa"/>
            <w:tcMar>
              <w:top w:w="60" w:type="dxa"/>
              <w:left w:w="80" w:type="dxa"/>
              <w:bottom w:w="60" w:type="dxa"/>
              <w:right w:w="80" w:type="dxa"/>
            </w:tcMar>
          </w:tcPr>
          <w:p>
            <w:pPr>
              <w:suppressLineNumbers/>
              <w:spacing w:before="20" w:after="20" w:line="240" w:lineRule="auto"/>
            </w:pPr>
            <w:r>
              <w:rPr>
                <w:sz w:val="18"/>
                <w:szCs w:val="18"/>
              </w:rPr>
              <w:t xml:space="preserve">R-Skript für </w:t>
            </w:r>
            <w:r>
              <w:rPr>
                <w:rFonts w:ascii="Courier New" w:hAnsi="Courier New" w:cs="Courier New"/>
                <w:sz w:val="18"/>
                <w:szCs w:val="18"/>
              </w:rPr>
              <w:t xml:space="preserve">metafor::rma.mv</w:t>
            </w:r>
            <w:r>
              <w:rPr>
                <w:sz w:val="18"/>
                <w:szCs w:val="18"/>
              </w:rPr>
              <w:t xml:space="preserve"> (3-Ebenen-REML), </w:t>
            </w:r>
            <w:r>
              <w:rPr>
                <w:rFonts w:ascii="Courier New" w:hAnsi="Courier New" w:cs="Courier New"/>
                <w:sz w:val="18"/>
                <w:szCs w:val="18"/>
              </w:rPr>
              <w:t xml:space="preserve">clubSandwich</w:t>
            </w:r>
            <w:r>
              <w:rPr>
                <w:sz w:val="18"/>
                <w:szCs w:val="18"/>
              </w:rPr>
              <w:t xml:space="preserve"> CR2, I²-Zerlegung und 5-fach Publikationsbias-Suite.</w:t>
            </w:r>
          </w:p>
        </w:tc>
      </w:tr>
      <w:tr>
        <w:trPr>
          <w:cantSplit/>
        </w:trPr>
        <w:tc>
          <w:tcPr>
            <w:tcW w:w="4535" w:type="dxa"/>
            <w:tcMar>
              <w:top w:w="60" w:type="dxa"/>
              <w:left w:w="80" w:type="dxa"/>
              <w:bottom w:w="60" w:type="dxa"/>
              <w:right w:w="80" w:type="dxa"/>
            </w:tcMar>
          </w:tcPr>
          <w:p>
            <w:pPr>
              <w:suppressLineNumbers/>
              <w:spacing w:before="20" w:after="20" w:line="240" w:lineRule="auto"/>
            </w:pPr>
            <w:r>
              <w:rPr>
                <w:rFonts w:ascii="Courier New" w:hAnsi="Courier New" w:cs="Courier New"/>
                <w:sz w:val="18"/>
                <w:szCs w:val="18"/>
              </w:rPr>
              <w:t xml:space="preserve">test/</w:t>
            </w:r>
          </w:p>
        </w:tc>
        <w:tc>
          <w:tcPr>
            <w:tcW w:w="4535" w:type="dxa"/>
            <w:tcMar>
              <w:top w:w="60" w:type="dxa"/>
              <w:left w:w="80" w:type="dxa"/>
              <w:bottom w:w="60" w:type="dxa"/>
              <w:right w:w="80" w:type="dxa"/>
            </w:tcMar>
          </w:tcPr>
          <w:p>
            <w:pPr>
              <w:suppressLineNumbers/>
              <w:spacing w:before="20" w:after="20" w:line="240" w:lineRule="auto"/>
            </w:pPr>
            <w:r>
              <w:rPr>
                <w:sz w:val="18"/>
                <w:szCs w:val="18"/>
              </w:rPr>
              <w:t xml:space="preserve">40 automatisierte Testsuiten (</w:t>
            </w:r>
            <w:r>
              <w:rPr>
                <w:rFonts w:ascii="Courier New" w:hAnsi="Courier New" w:cs="Courier New"/>
                <w:sz w:val="18"/>
                <w:szCs w:val="18"/>
              </w:rPr>
              <w:t xml:space="preserve">node --test</w:t>
            </w:r>
            <w:r>
              <w:rPr>
                <w:sz w:val="18"/>
                <w:szCs w:val="18"/>
              </w:rPr>
              <w:t xml:space="preserve">) mit über 680 Einzelprüfungen gegen analytische Referenzwerte, R-Gegenproben und UI/API-Parität.</w:t>
            </w:r>
          </w:p>
        </w:tc>
      </w:tr>
    </w:tbl>
    <w:p>
      <w:pPr>
        <w:spacing w:after="0" w:line="240" w:lineRule="auto"/>
      </w:pPr>
    </w:p>
    <w:p>
      <w:pPr>
        <w:pBdr>
          <w:bottom w:val="single" w:sz="6" w:space="1" w:color="B4B4B4"/>
        </w:pBdr>
      </w:pPr>
    </w:p>
    <w:p>
      <w:pPr>
        <w:pStyle w:val="Ueberschrift3"/>
      </w:pPr>
      <w:r>
        <w:t xml:space="preserve">14. Betrieb, Tests &amp; Deployment (</w:t>
      </w:r>
      <w:r>
        <w:rPr>
          <w:rFonts w:ascii="Courier New" w:hAnsi="Courier New" w:cs="Courier New"/>
        </w:rPr>
        <w:t xml:space="preserve">Franz2</w:t>
      </w:r>
      <w:r>
        <w:t xml:space="preserve">)</w:t>
      </w:r>
    </w:p>
    <w:p>
      <w:pPr>
        <w:pStyle w:val="Ueberschrift4"/>
      </w:pPr>
      <w:r>
        <w:t xml:space="preserve">14.1 Automatisierte Qualitätssicherung lokal ausführen</w:t>
      </w:r>
    </w:p>
    <w:p>
      <w:pPr>
        <w:pStyle w:val="Fest"/>
      </w:pPr>
      <w:r>
        <w:rPr>
          <w:rFonts w:ascii="Courier New" w:hAnsi="Courier New" w:cs="Courier New"/>
          <w:sz w:val="18"/>
          <w:szCs w:val="18"/>
        </w:rPr>
        <w:t xml:space="preserve"># 1. Vollständige Testsuite (40 Testdateien, &gt;680 Assertions inkl. R-Bridge &amp; Parität)</w:t>
      </w:r>
    </w:p>
    <w:p>
      <w:pPr>
        <w:pStyle w:val="Fest"/>
      </w:pPr>
      <w:r>
        <w:rPr>
          <w:rFonts w:ascii="Courier New" w:hAnsi="Courier New" w:cs="Courier New"/>
          <w:sz w:val="18"/>
          <w:szCs w:val="18"/>
        </w:rPr>
        <w:t xml:space="preserve">npm test</w:t>
      </w:r>
    </w:p>
    <w:p>
      <w:pPr>
        <w:pStyle w:val="Fest"/>
      </w:pPr>
      <w:r>
        <w:rPr>
          <w:rFonts w:ascii="Courier New" w:hAnsi="Courier New" w:cs="Courier New"/>
          <w:sz w:val="18"/>
          <w:szCs w:val="18"/>
        </w:rPr>
        <w:t xml:space="preserve"/>
      </w:r>
    </w:p>
    <w:p>
      <w:pPr>
        <w:pStyle w:val="Fest"/>
      </w:pPr>
      <w:r>
        <w:rPr>
          <w:rFonts w:ascii="Courier New" w:hAnsi="Courier New" w:cs="Courier New"/>
          <w:sz w:val="18"/>
          <w:szCs w:val="18"/>
        </w:rPr>
        <w:t xml:space="preserve"># 2. Produktions-Build prüfen (Next.js TypeScript &amp; Route-Compiler)</w:t>
      </w:r>
    </w:p>
    <w:p>
      <w:pPr>
        <w:pStyle w:val="Fest"/>
      </w:pPr>
      <w:r>
        <w:rPr>
          <w:rFonts w:ascii="Courier New" w:hAnsi="Courier New" w:cs="Courier New"/>
          <w:sz w:val="18"/>
          <w:szCs w:val="18"/>
        </w:rPr>
        <w:t xml:space="preserve">npm run build</w:t>
      </w:r>
    </w:p>
    <w:p>
      <w:pPr>
        <w:pStyle w:val="Ueberschrift4"/>
      </w:pPr>
      <w:r>
        <w:t xml:space="preserve">14.2 Produktivbetrieb auf </w:t>
      </w:r>
      <w:r>
        <w:rPr>
          <w:rFonts w:ascii="Courier New" w:hAnsi="Courier New" w:cs="Courier New"/>
        </w:rPr>
        <w:t xml:space="preserve">Franz2</w:t>
      </w:r>
      <w:r>
        <w:t xml:space="preserve"> (</w:t>
      </w:r>
      <w:r>
        <w:rPr>
          <w:rFonts w:ascii="Courier New" w:hAnsi="Courier New" w:cs="Courier New"/>
        </w:rPr>
        <w:t xml:space="preserve">https://metaanalysis.brain-hr.de</w:t>
      </w:r>
      <w:r>
        <w:t xml:space="preserve">)</w:t>
      </w:r>
    </w:p>
    <w:p>
      <w:r>
        <w:t xml:space="preserve">Die Produktionsinstanz läuft als </w:t>
      </w:r>
      <w:r>
        <w:rPr>
          <w:b/>
        </w:rPr>
        <w:t xml:space="preserve">rootless Podman-Quadlet-Service</w:t>
      </w:r>
      <w:r>
        <w:t xml:space="preserve"> (</w:t>
      </w:r>
      <w:r>
        <w:rPr>
          <w:rFonts w:ascii="Courier New" w:hAnsi="Courier New" w:cs="Courier New"/>
        </w:rPr>
        <w:t xml:space="preserve">evidenzwerk.service</w:t>
      </w:r>
      <w:r>
        <w:t xml:space="preserve">) hinter Caddy mit automatischem TLS:</w:t>
      </w:r>
    </w:p>
    <w:p>
      <w:pPr>
        <w:numPr>
          <w:ilvl w:val="0"/>
          <w:numId w:val="1"/>
        </w:numPr>
      </w:pPr>
      <w:r>
        <w:rPr>
          <w:b/>
        </w:rPr>
        <w:t xml:space="preserve">Container-Definition:</w:t>
      </w:r>
      <w:r>
        <w:t xml:space="preserve"> </w:t>
      </w:r>
      <w:r>
        <w:rPr>
          <w:rFonts w:ascii="Courier New" w:hAnsi="Courier New" w:cs="Courier New"/>
        </w:rPr>
        <w:t xml:space="preserve">deploy/evidenzwerk.container</w:t>
      </w:r>
      <w:r>
        <w:t xml:space="preserve"> und </w:t>
      </w:r>
      <w:r>
        <w:rPr>
          <w:rFonts w:ascii="Courier New" w:hAnsi="Courier New" w:cs="Courier New"/>
        </w:rPr>
        <w:t xml:space="preserve">Containerfile</w:t>
      </w:r>
      <w:r>
        <w:t xml:space="preserve"> (Multi-Stage-Build auf Basis von </w:t>
      </w:r>
      <w:r>
        <w:rPr>
          <w:rFonts w:ascii="Courier New" w:hAnsi="Courier New" w:cs="Courier New"/>
        </w:rPr>
        <w:t xml:space="preserve">node:22-bookworm-slim</w:t>
      </w:r>
      <w:r>
        <w:t xml:space="preserve"> inklusive </w:t>
      </w:r>
      <w:r>
        <w:rPr>
          <w:rFonts w:ascii="Courier New" w:hAnsi="Courier New" w:cs="Courier New"/>
        </w:rPr>
        <w:t xml:space="preserve">r-base</w:t>
      </w:r>
      <w:r>
        <w:t xml:space="preserve">, </w:t>
      </w:r>
      <w:r>
        <w:rPr>
          <w:rFonts w:ascii="Courier New" w:hAnsi="Courier New" w:cs="Courier New"/>
        </w:rPr>
        <w:t xml:space="preserve">metafor</w:t>
      </w:r>
      <w:r>
        <w:t xml:space="preserve">, </w:t>
      </w:r>
      <w:r>
        <w:rPr>
          <w:rFonts w:ascii="Courier New" w:hAnsi="Courier New" w:cs="Courier New"/>
        </w:rPr>
        <w:t xml:space="preserve">clubSandwich</w:t>
      </w:r>
      <w:r>
        <w:t xml:space="preserve">, </w:t>
      </w:r>
      <w:r>
        <w:rPr>
          <w:rFonts w:ascii="Courier New" w:hAnsi="Courier New" w:cs="Courier New"/>
        </w:rPr>
        <w:t xml:space="preserve">meta</w:t>
      </w:r>
      <w:r>
        <w:t xml:space="preserve">, </w:t>
      </w:r>
      <w:r>
        <w:rPr>
          <w:rFonts w:ascii="Courier New" w:hAnsi="Courier New" w:cs="Courier New"/>
        </w:rPr>
        <w:t xml:space="preserve">puniform</w:t>
      </w:r>
      <w:r>
        <w:t xml:space="preserve"> und Liberation-Schriften).</w:t>
      </w:r>
    </w:p>
    <w:p>
      <w:pPr>
        <w:numPr>
          <w:ilvl w:val="0"/>
          <w:numId w:val="1"/>
        </w:numPr>
      </w:pPr>
      <w:r>
        <w:rPr>
          <w:b/>
        </w:rPr>
        <w:t xml:space="preserve">Persistentes Datenverzeichnis auf dem Host:</w:t>
      </w:r>
      <w:r>
        <w:t xml:space="preserve"> </w:t>
      </w:r>
      <w:r>
        <w:rPr>
          <w:rFonts w:ascii="Courier New" w:hAnsi="Courier New" w:cs="Courier New"/>
        </w:rPr>
        <w:t xml:space="preserve">/srv/evidenzwerk/data</w:t>
      </w:r>
      <w:r>
        <w:t xml:space="preserve"> (gemountet nach </w:t>
      </w:r>
      <w:r>
        <w:rPr>
          <w:rFonts w:ascii="Courier New" w:hAnsi="Courier New" w:cs="Courier New"/>
        </w:rPr>
        <w:t xml:space="preserve">/data</w:t>
      </w:r>
      <w:r>
        <w:t xml:space="preserve"> im Container; enthält </w:t>
      </w:r>
      <w:r>
        <w:rPr>
          <w:rFonts w:ascii="Courier New" w:hAnsi="Courier New" w:cs="Courier New"/>
        </w:rPr>
        <w:t xml:space="preserve">evidenzwerk.db</w:t>
      </w:r>
      <w:r>
        <w:t xml:space="preserve"> sowie </w:t>
      </w:r>
      <w:r>
        <w:rPr>
          <w:rFonts w:ascii="Courier New" w:hAnsi="Courier New" w:cs="Courier New"/>
        </w:rPr>
        <w:t xml:space="preserve">/data/pdfs/</w:t>
      </w:r>
      <w:r>
        <w:t xml:space="preserve">).</w:t>
      </w:r>
    </w:p>
    <w:p>
      <w:pPr>
        <w:numPr>
          <w:ilvl w:val="0"/>
          <w:numId w:val="1"/>
        </w:numPr>
      </w:pPr>
      <w:r>
        <w:rPr>
          <w:b/>
        </w:rPr>
        <w:t xml:space="preserve">Ein-Befehl-Deployment (</w:t>
      </w:r>
      <w:r>
        <w:rPr>
          <w:rFonts w:ascii="Courier New" w:hAnsi="Courier New" w:cs="Courier New"/>
        </w:rPr>
        <w:t xml:space="preserve">deploy/deploy.sh</w:t>
      </w:r>
      <w:r>
        <w:rPr>
          <w:b/>
        </w:rPr>
        <w:t xml:space="preserve">):</w:t>
      </w:r>
    </w:p>
    <w:p>
      <w:r>
        <w:t xml:space="preserve">Synchronisiert den aktuellen Git-Stand auf </w:t>
      </w:r>
      <w:r>
        <w:rPr>
          <w:rFonts w:ascii="Courier New" w:hAnsi="Courier New" w:cs="Courier New"/>
        </w:rPr>
        <w:t xml:space="preserve">Franz2</w:t>
      </w:r>
      <w:r>
        <w:t xml:space="preserve">, baut das Container-Image </w:t>
      </w:r>
      <w:r>
        <w:rPr>
          <w:rFonts w:ascii="Courier New" w:hAnsi="Courier New" w:cs="Courier New"/>
        </w:rPr>
        <w:t xml:space="preserve">localhost/evidenzwerk:latest</w:t>
      </w:r>
      <w:r>
        <w:t xml:space="preserve">, startet </w:t>
      </w:r>
      <w:r>
        <w:rPr>
          <w:rFonts w:ascii="Courier New" w:hAnsi="Courier New" w:cs="Courier New"/>
        </w:rPr>
        <w:t xml:space="preserve">systemctl --user restart evidenzwerk.service</w:t>
      </w:r>
      <w:r>
        <w:t xml:space="preserve"> und prüft anschließend den Health-Endpunkt </w:t>
      </w:r>
      <w:r>
        <w:rPr>
          <w:rFonts w:ascii="Courier New" w:hAnsi="Courier New" w:cs="Courier New"/>
        </w:rPr>
        <w:t xml:space="preserve">/api/health/live</w:t>
      </w:r>
      <w:r>
        <w:t xml:space="preserve">.</w:t>
      </w:r>
    </w:p>
    <w:sectPr>
      <w:footerReference w:type="default" r:id="rId3"/>
      <w:pgSz w:w="11906" w:h="16838"/>
      <w:pgMar w:top="1418" w:right="1418" w:bottom="1418" w:left="1418" w:header="709" w:footer="709" w:gutter="0"/>
      <w:cols w:space="708"/>
      <w:docGrid w:linePitch="360"/>
    </w:sectPr>
  </w:body>
</w:document>
</file>

<file path=word/footer1.xml><?xml version="1.0" encoding="utf-8"?>
<w:ftr xmlns:w="http://schemas.openxmlformats.org/wordprocessingml/2006/main">
  <w:p>
    <w:pPr>
      <w:pStyle w:val="Fusszeile"/>
      <w:jc w:val="center"/>
    </w:pPr>
    <w:r>
      <w:t xml:space="preserve">EvidenzWerk · Fachliches &amp; Technisches Gesamthandbuch (2026)   ·   </w:t>
    </w:r>
    <w:r>
      <w:fldChar w:fldCharType="begin"/>
    </w:r>
    <w:r>
      <w:instrText xml:space="preserve"> PAGE </w:instrText>
    </w:r>
    <w:r>
      <w:fldChar w:fldCharType="separate"/>
    </w:r>
    <w:r>
      <w:t>1</w:t>
    </w:r>
    <w:r>
      <w:fldChar w:fldCharType="end"/>
    </w:r>
  </w:p>
</w:ftr>
</file>

<file path=word/numbering.xml><?xml version="1.0" encoding="utf-8"?>
<w:numbering xmlns:w="http://schemas.openxmlformats.org/wordprocessingml/2006/main">
  <w:abstractNum w:abstractNumId="0">
    <w:multiLevelType w:val="singleLevel"/>
    <w:lvl w:ilvl="0">
      <w:start w:val="1"/>
      <w:numFmt w:val="bullet"/>
      <w:lvlText w:val="•"/>
      <w:lvlJc w:val="left"/>
      <w:pPr>
        <w:ind w:left="454" w:hanging="284"/>
      </w:pPr>
    </w:lvl>
  </w:abstractNum>
  <w:abstractNum w:abstractNumId="1">
    <w:multiLevelType w:val="singleLevel"/>
    <w:lvl w:ilvl="0">
      <w:start w:val="1"/>
      <w:numFmt w:val="decimal"/>
      <w:lvlText w:val="%1."/>
      <w:lvlJc w:val="left"/>
      <w:pPr>
        <w:ind w:left="454" w:hanging="284"/>
      </w:pPr>
    </w:lvl>
  </w:abstractNum>
  <w:num w:numId="1">
    <w:abstractNumId w:val="0"/>
  </w:num>
  <w:num w:numId="2">
    <w:abstractNumId w:val="1"/>
  </w:num>
</w:numbering>
</file>

<file path=word/styles.xml><?xml version="1.0" encoding="utf-8"?>
<w:styles xmlns:w="http://schemas.openxmlformats.org/wordprocessingml/2006/main">
  <w:docDefaults>
    <w:rPrDefault>
      <w:rPr>
        <w:rFonts w:ascii="Times New Roman" w:hAnsi="Times New Roman" w:eastAsia="Times New Roman" w:cs="Times New Roman"/>
        <w:sz w:val="24"/>
        <w:szCs w:val="24"/>
        <w:lang w:val="de-DE"/>
      </w:rPr>
    </w:rPrDefault>
    <w:pPrDefault>
      <w:pPr>
        <w:spacing w:after="120" w:line="276" w:lineRule="auto"/>
      </w:pPr>
    </w:pPrDefault>
  </w:docDefaults>
  <w:style w:type="paragraph" w:default="1" w:styleId="Standard">
    <w:name w:val="Normal"/>
    <w:qFormat/>
  </w:style>
  <w:style w:type="paragraph" w:styleId="Titel">
    <w:name w:val="Title"/>
    <w:basedOn w:val="Standard"/>
    <w:pPr>
      <w:spacing w:before="0" w:after="120" w:line="240" w:lineRule="auto"/>
    </w:pPr>
    <w:rPr>
      <w:b/>
      <w:sz w:val="36"/>
      <w:szCs w:val="36"/>
    </w:rPr>
  </w:style>
  <w:style w:type="paragraph" w:styleId="Untertitel">
    <w:name w:val="Subtitle"/>
    <w:basedOn w:val="Standard"/>
    <w:pPr>
      <w:spacing w:after="360" w:line="240" w:lineRule="auto"/>
    </w:pPr>
    <w:rPr>
      <w:i/>
      <w:color w:val="555555"/>
      <w:sz w:val="22"/>
    </w:rPr>
  </w:style>
  <w:style w:type="paragraph" w:styleId="Ueberschrift1">
    <w:name w:val="heading 1"/>
    <w:basedOn w:val="Standard"/>
    <w:pPr>
      <w:keepNext/>
      <w:spacing w:before="360" w:after="140" w:line="240" w:lineRule="auto"/>
      <w:outlineLvl w:val="0"/>
    </w:pPr>
    <w:rPr>
      <w:b/>
      <w:sz w:val="32"/>
      <w:szCs w:val="32"/>
    </w:rPr>
  </w:style>
  <w:style w:type="paragraph" w:styleId="Ueberschrift2">
    <w:name w:val="heading 2"/>
    <w:basedOn w:val="Standard"/>
    <w:pPr>
      <w:keepNext/>
      <w:spacing w:before="280" w:after="120" w:line="240" w:lineRule="auto"/>
      <w:outlineLvl w:val="1"/>
    </w:pPr>
    <w:rPr>
      <w:b/>
      <w:sz w:val="28"/>
      <w:szCs w:val="28"/>
    </w:rPr>
  </w:style>
  <w:style w:type="paragraph" w:styleId="Ueberschrift3">
    <w:name w:val="heading 3"/>
    <w:basedOn w:val="Standard"/>
    <w:pPr>
      <w:keepNext/>
      <w:spacing w:before="240" w:after="100" w:line="240" w:lineRule="auto"/>
      <w:outlineLvl w:val="2"/>
    </w:pPr>
    <w:rPr>
      <w:b/>
      <w:sz w:val="26"/>
      <w:szCs w:val="26"/>
    </w:rPr>
  </w:style>
  <w:style w:type="paragraph" w:styleId="Ueberschrift4">
    <w:name w:val="heading 4"/>
    <w:basedOn w:val="Standard"/>
    <w:pPr>
      <w:keepNext/>
      <w:spacing w:before="200" w:after="80" w:line="240" w:lineRule="auto"/>
      <w:outlineLvl w:val="3"/>
    </w:pPr>
    <w:rPr>
      <w:b/>
      <w:i/>
      <w:sz w:val="24"/>
    </w:rPr>
  </w:style>
  <w:style w:type="paragraph" w:styleId="Zitat">
    <w:name w:val="Quote"/>
    <w:basedOn w:val="Standard"/>
    <w:pPr>
      <w:ind w:left="454"/>
      <w:spacing w:before="120" w:after="120"/>
    </w:pPr>
    <w:rPr>
      <w:i/>
      <w:color w:val="444444"/>
    </w:rPr>
  </w:style>
  <w:style w:type="paragraph" w:styleId="Fest">
    <w:name w:val="HTML Preformatted"/>
    <w:basedOn w:val="Standard"/>
    <w:pPr>
      <w:spacing w:before="0" w:after="0" w:line="240" w:lineRule="auto"/>
      <w:suppressLineNumbers/>
    </w:pPr>
    <w:rPr>
      <w:rFonts w:ascii="Courier New" w:hAnsi="Courier New" w:cs="Courier New"/>
      <w:sz w:val="18"/>
    </w:rPr>
  </w:style>
  <w:style w:type="paragraph" w:styleId="Beschriftung">
    <w:name w:val="caption"/>
    <w:basedOn w:val="Standard"/>
    <w:pPr>
      <w:keepNext/>
      <w:spacing w:before="200" w:after="60" w:line="240" w:lineRule="auto"/>
      <w:suppressLineNumbers/>
    </w:pPr>
    <w:rPr>
      <w:i/>
      <w:sz w:val="20"/>
    </w:rPr>
  </w:style>
  <w:style w:type="paragraph" w:styleId="Fusszeile">
    <w:name w:val="footer"/>
    <w:basedOn w:val="Standard"/>
    <w:pPr>
      <w:spacing w:before="0" w:after="0" w:line="240" w:lineRule="auto"/>
      <w:suppressLineNumbers/>
    </w:pPr>
    <w:rPr>
      <w:sz w:val="18"/>
      <w:color w:val="66666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er" Target="footer1.xml"/><Relationship Id="rIdBild1" Type="http://schemas.openxmlformats.org/officeDocument/2006/relationships/image" Target="media/image1.png"/><Relationship Id="rIdBild2" Type="http://schemas.openxmlformats.org/officeDocument/2006/relationships/image" Target="media/image2.png"/><Relationship Id="rIdBild3" Type="http://schemas.openxmlformats.org/officeDocument/2006/relationships/image" Target="media/image3.png"/><Relationship Id="rIdBild4" Type="http://schemas.openxmlformats.org/officeDocument/2006/relationships/image" Target="media/image4.png"/><Relationship Id="rIdBild5" Type="http://schemas.openxmlformats.org/officeDocument/2006/relationships/image" Target="media/image5.png"/><Relationship Id="rIdBild6" Type="http://schemas.openxmlformats.org/officeDocument/2006/relationships/image" Target="media/image6.png"/><Relationship Id="rIdBild7" Type="http://schemas.openxmlformats.org/officeDocument/2006/relationships/image" Target="media/image7.png"/><Relationship Id="rIdBild8" Type="http://schemas.openxmlformats.org/officeDocument/2006/relationships/image" Target="media/image8.png"/><Relationship Id="rIdBild9" Type="http://schemas.openxmlformats.org/officeDocument/2006/relationships/image" Target="media/image9.png"/><Relationship Id="rIdBild10" Type="http://schemas.openxmlformats.org/officeDocument/2006/relationships/image" Target="media/image10.png"/><Relationship Id="rIdBild11" Type="http://schemas.openxmlformats.org/officeDocument/2006/relationships/image" Target="media/image11.png"/><Relationship Id="rIdBild12" Type="http://schemas.openxmlformats.org/officeDocument/2006/relationships/image" Target="media/image12.png"/><Relationship Id="rIdBild13" Type="http://schemas.openxmlformats.org/officeDocument/2006/relationships/image" Target="media/image13.png"/><Relationship Id="rIdBild14" Type="http://schemas.openxmlformats.org/officeDocument/2006/relationships/image" Target="media/image14.png"/><Relationship Id="rIdBild15" Type="http://schemas.openxmlformats.org/officeDocument/2006/relationships/image" Target="media/image15.png"/><Relationship Id="rIdBild16" Type="http://schemas.openxmlformats.org/officeDocument/2006/relationships/image" Target="media/image16.png"/><Relationship Id="rIdBild17" Type="http://schemas.openxmlformats.org/officeDocument/2006/relationships/image" Target="media/image17.png"/><Relationship Id="rIdBild18" Type="http://schemas.openxmlformats.org/officeDocument/2006/relationships/image" Target="media/image18.png"/><Relationship Id="rIdBild19" Type="http://schemas.openxmlformats.org/officeDocument/2006/relationships/image" Target="media/image19.png"/><Relationship Id="rIdBild20" Type="http://schemas.openxmlformats.org/officeDocument/2006/relationships/image" Target="media/image20.png"/></Relationships>
</file>

<file path=docProps/core.xml><?xml version="1.0" encoding="utf-8"?>
<cp:coreProperties xmlns:cp="http://schemas.openxmlformats.org/package/2006/metadata/core-properties" xmlns:dc="http://purl.org/dc/elements/1.1/" xmlns:dcterms="http://purl.org/dc/terms/" xmlns:xsi="http://www.w3.org/2001/XMLSchema-instance">
  <dc:title>EvidenzWerk — Fachliches &amp; Technisches Gesamthandbuch (Kompendium 2026)</dc:title>
  <dc:creator>EvidenzWerk</dc:creator>
  <cp:lastModifiedBy>EvidenzWerk</cp:lastModifiedBy>
  <dcterms:created xsi:type="dcterms:W3CDTF">2026-10-18T12:00:00Z</dcterms:created>
  <dcterms:modified xsi:type="dcterms:W3CDTF">2026-10-18T12:00:00Z</dcterms:modified>
</cp:coreProperties>
</file>